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CB757">
      <w:pPr>
        <w:pStyle w:val="6"/>
        <w:spacing w:before="120" w:after="120"/>
        <w:rPr>
          <w:rStyle w:val="7"/>
          <w:b w:val="0"/>
          <w:bCs w:val="0"/>
        </w:rPr>
      </w:pPr>
      <w:r>
        <w:rPr>
          <w:rStyle w:val="7"/>
          <w:rFonts w:hint="eastAsia"/>
          <w:b w:val="0"/>
          <w:bCs w:val="0"/>
        </w:rPr>
        <w:t>服务需求书</w:t>
      </w:r>
    </w:p>
    <w:p w14:paraId="2DF22786">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3DE30BE2">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4A4BAC86">
      <w:pPr>
        <w:pStyle w:val="2"/>
      </w:pPr>
    </w:p>
    <w:p w14:paraId="54267F33">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3EA9E4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项目名称；石岩街道立项建设工程结（决）算协审服务（2025-2028年度）项目</w:t>
      </w:r>
    </w:p>
    <w:p w14:paraId="3AC78A20">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eastAsiaTheme="minorEastAsia"/>
          <w:kern w:val="0"/>
          <w:szCs w:val="21"/>
        </w:rPr>
        <w:t>500,</w:t>
      </w:r>
      <w:r>
        <w:rPr>
          <w:rFonts w:cs="宋体" w:asciiTheme="minorEastAsia" w:hAnsiTheme="minorEastAsia" w:eastAsiaTheme="minorEastAsia"/>
          <w:kern w:val="0"/>
          <w:szCs w:val="21"/>
        </w:rPr>
        <w:t>000</w:t>
      </w:r>
      <w:r>
        <w:rPr>
          <w:rFonts w:hint="eastAsia" w:cs="宋体" w:asciiTheme="minorEastAsia" w:hAnsiTheme="minorEastAsia" w:eastAsiaTheme="minorEastAsia"/>
          <w:kern w:val="0"/>
          <w:szCs w:val="21"/>
        </w:rPr>
        <w:t>.00元</w:t>
      </w:r>
    </w:p>
    <w:p w14:paraId="140AB02A">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7914FA1F">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项目简介（项目背景/服务范围）；</w:t>
      </w:r>
      <w:r>
        <w:rPr>
          <w:rFonts w:hint="eastAsia" w:ascii="宋体" w:hAnsi="宋体"/>
          <w:szCs w:val="21"/>
        </w:rPr>
        <w:t>石岩街道立项或使用街道财政补助资金工程项目的结、决算协审，合同服务期内提供工程设备材料询价服务网络的（一个子帐号及密码）使用授权。</w:t>
      </w:r>
    </w:p>
    <w:p w14:paraId="34CC605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宋体" w:hAnsi="宋体"/>
          <w:szCs w:val="21"/>
        </w:rPr>
        <w:t>项目服务期限一年。项目属于长期服务项目。采购人可视中标供应商履约服务情况，决定是否续签，合同一年一签，合同总期限最长不超过三年。</w:t>
      </w:r>
    </w:p>
    <w:p w14:paraId="1F97AA04">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186223D6">
      <w:pPr>
        <w:pStyle w:val="2"/>
        <w:ind w:firstLine="424" w:firstLineChars="202"/>
      </w:pPr>
      <w:r>
        <w:rPr>
          <w:rFonts w:hint="eastAsia" w:ascii="宋体" w:hAnsi="宋体"/>
          <w:szCs w:val="21"/>
        </w:rPr>
        <w:t>符合《</w:t>
      </w:r>
      <w:r>
        <w:rPr>
          <w:rFonts w:hint="eastAsia" w:ascii="宋体" w:hAnsi="宋体"/>
          <w:szCs w:val="21"/>
        </w:rPr>
        <w:fldChar w:fldCharType="begin"/>
      </w:r>
      <w:r>
        <w:rPr>
          <w:rFonts w:hint="eastAsia" w:ascii="宋体" w:hAnsi="宋体"/>
          <w:szCs w:val="21"/>
        </w:rPr>
        <w:instrText xml:space="preserve"> HYPERLINK "http://www.ccea.pro/bzgc/zh20181016124343.shtml" \t "http://www.ccea.pro/bzgc/_blank" </w:instrText>
      </w:r>
      <w:r>
        <w:rPr>
          <w:rFonts w:hint="eastAsia" w:ascii="宋体" w:hAnsi="宋体"/>
          <w:szCs w:val="21"/>
        </w:rPr>
        <w:fldChar w:fldCharType="separate"/>
      </w:r>
      <w:r>
        <w:rPr>
          <w:rFonts w:hint="eastAsia" w:ascii="宋体" w:hAnsi="宋体"/>
          <w:szCs w:val="21"/>
        </w:rPr>
        <w:t>建设项目工程结算编审规程 CECA/GC 3-2010</w:t>
      </w:r>
      <w:r>
        <w:rPr>
          <w:rFonts w:hint="eastAsia" w:ascii="宋体" w:hAnsi="宋体"/>
          <w:szCs w:val="21"/>
        </w:rPr>
        <w:fldChar w:fldCharType="end"/>
      </w:r>
      <w:r>
        <w:rPr>
          <w:rFonts w:hint="eastAsia" w:ascii="宋体" w:hAnsi="宋体"/>
          <w:szCs w:val="21"/>
        </w:rPr>
        <w:t>》及《</w:t>
      </w:r>
      <w:r>
        <w:rPr>
          <w:rFonts w:hint="eastAsia" w:ascii="宋体" w:hAnsi="宋体"/>
          <w:szCs w:val="21"/>
        </w:rPr>
        <w:fldChar w:fldCharType="begin"/>
      </w:r>
      <w:r>
        <w:rPr>
          <w:rFonts w:hint="eastAsia" w:ascii="宋体" w:hAnsi="宋体"/>
          <w:szCs w:val="21"/>
        </w:rPr>
        <w:instrText xml:space="preserve"> HYPERLINK "http://www.ccea.pro/bzgc/zh20181016124349.shtml" \t "http://www.ccea.pro/bzgc/_blank" </w:instrText>
      </w:r>
      <w:r>
        <w:rPr>
          <w:rFonts w:hint="eastAsia" w:ascii="宋体" w:hAnsi="宋体"/>
          <w:szCs w:val="21"/>
        </w:rPr>
        <w:fldChar w:fldCharType="separate"/>
      </w:r>
      <w:r>
        <w:rPr>
          <w:rFonts w:hint="eastAsia" w:ascii="宋体" w:hAnsi="宋体"/>
          <w:szCs w:val="21"/>
        </w:rPr>
        <w:t>建设项目工程竣工决算编制规程 CECA/GC 9-2013</w:t>
      </w:r>
      <w:r>
        <w:rPr>
          <w:rFonts w:hint="eastAsia" w:ascii="宋体" w:hAnsi="宋体"/>
          <w:szCs w:val="21"/>
        </w:rPr>
        <w:fldChar w:fldCharType="end"/>
      </w:r>
      <w:r>
        <w:rPr>
          <w:rFonts w:hint="eastAsia" w:ascii="宋体" w:hAnsi="宋体"/>
          <w:szCs w:val="21"/>
        </w:rPr>
        <w:t>》。是否按服务方案据工程实际情况及委托人要求安排工程师察看工程现场等。</w:t>
      </w:r>
    </w:p>
    <w:p w14:paraId="08058E0E">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宋体" w:hAnsi="宋体"/>
          <w:b/>
          <w:color w:val="FF0000"/>
        </w:rPr>
        <w:t xml:space="preserve">★ </w:t>
      </w:r>
      <w:r>
        <w:rPr>
          <w:rFonts w:hint="eastAsia" w:asciiTheme="minorEastAsia" w:hAnsiTheme="minorEastAsia" w:eastAsiaTheme="minorEastAsia"/>
          <w:b/>
          <w:szCs w:val="21"/>
        </w:rPr>
        <w:t>人员要求（岗位要求、数量）</w:t>
      </w:r>
      <w:r>
        <w:rPr>
          <w:rFonts w:hint="eastAsia" w:asciiTheme="minorEastAsia" w:hAnsiTheme="minorEastAsia" w:eastAsiaTheme="minorEastAsia"/>
          <w:b/>
          <w:color w:val="FF0000"/>
          <w:szCs w:val="21"/>
        </w:rPr>
        <w:t>（投标人在《服务条款偏离表》中响应满足即可，中标后必需按此要求配备团队人员）</w:t>
      </w:r>
      <w:r>
        <w:rPr>
          <w:rFonts w:hint="eastAsia" w:asciiTheme="minorEastAsia" w:hAnsiTheme="minorEastAsia" w:eastAsiaTheme="minorEastAsia"/>
          <w:b/>
          <w:szCs w:val="21"/>
        </w:rPr>
        <w:t>；</w:t>
      </w:r>
      <w:r>
        <w:rPr>
          <w:rFonts w:hint="eastAsia" w:ascii="宋体" w:hAnsi="宋体"/>
          <w:szCs w:val="21"/>
        </w:rPr>
        <w:t>中标供应商须组建仅5人的项目组，其中项目负责人1人并具有造价工程师资格，土建安装专业预算人员各2人。协审工作人员须具有五年以上工作经验，且取得二级造价工程师以上资格。</w:t>
      </w:r>
    </w:p>
    <w:p w14:paraId="5827633C">
      <w:pPr>
        <w:numPr>
          <w:ilvl w:val="0"/>
          <w:numId w:val="2"/>
        </w:numPr>
        <w:spacing w:afterLines="0" w:line="360" w:lineRule="auto"/>
        <w:ind w:firstLine="422" w:firstLineChars="200"/>
        <w:jc w:val="left"/>
        <w:rPr>
          <w:rFonts w:hint="eastAsia" w:ascii="宋体" w:hAnsi="宋体"/>
          <w:szCs w:val="21"/>
        </w:rPr>
      </w:pPr>
      <w:r>
        <w:rPr>
          <w:rFonts w:hint="eastAsia" w:ascii="宋体" w:hAnsi="宋体"/>
          <w:b/>
          <w:bCs/>
          <w:szCs w:val="21"/>
        </w:rPr>
        <w:t>后续服务要求</w:t>
      </w:r>
      <w:r>
        <w:rPr>
          <w:rFonts w:hint="eastAsia" w:asciiTheme="minorEastAsia" w:hAnsiTheme="minorEastAsia" w:eastAsiaTheme="minorEastAsia"/>
          <w:b/>
          <w:bCs/>
          <w:szCs w:val="21"/>
        </w:rPr>
        <w:t>；</w:t>
      </w:r>
      <w:r>
        <w:rPr>
          <w:rFonts w:hint="eastAsia" w:ascii="宋体" w:hAnsi="宋体"/>
          <w:szCs w:val="21"/>
        </w:rPr>
        <w:t>对存在明显错漏的审核成果文件进行解释和纠偏。</w:t>
      </w:r>
    </w:p>
    <w:p w14:paraId="7A16DED1">
      <w:pPr>
        <w:numPr>
          <w:ilvl w:val="0"/>
          <w:numId w:val="2"/>
        </w:numPr>
        <w:spacing w:afterLines="0" w:line="360" w:lineRule="auto"/>
        <w:ind w:firstLine="422" w:firstLineChars="200"/>
        <w:jc w:val="left"/>
        <w:rPr>
          <w:rFonts w:hint="eastAsia" w:ascii="宋体" w:hAnsi="宋体"/>
          <w:szCs w:val="21"/>
        </w:rPr>
      </w:pPr>
      <w:r>
        <w:rPr>
          <w:rFonts w:hint="eastAsia" w:ascii="宋体" w:hAnsi="宋体"/>
          <w:b/>
          <w:bCs/>
          <w:szCs w:val="21"/>
        </w:rPr>
        <w:t>考核办法/验收方式；</w:t>
      </w:r>
      <w:r>
        <w:rPr>
          <w:rFonts w:hint="eastAsia" w:ascii="宋体" w:hAnsi="宋体"/>
          <w:szCs w:val="21"/>
        </w:rPr>
        <w:t>街道办工作人员不定期对审核成果文件复核审查，每一季度0若发现有明显或重大错漏导致单个工程审核价偏差大于5%或延迟交付成果文件两天以上一次时，核减当季度咨询酬金5%，并按次累加，合同期内累计发生三次以上5%偏差时，可中止合同实施，并履约评价不合格。 合同期内审核成果文件经街道纪检审计办抽中复审时若发现存在重大错漏导致单个工程审核价偏差大于 5%三次以上时,则当年度履约评价不合格不续签下一年度合同。</w:t>
      </w:r>
      <w:r>
        <w:rPr>
          <w:rFonts w:ascii="宋体" w:hAnsi="宋体"/>
          <w:szCs w:val="21"/>
        </w:rPr>
        <w:t xml:space="preserve"> </w:t>
      </w:r>
    </w:p>
    <w:p w14:paraId="5A6EF8F3">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p>
    <w:p w14:paraId="6E517A63">
      <w:pPr>
        <w:pStyle w:val="9"/>
        <w:numPr>
          <w:ilvl w:val="0"/>
          <w:numId w:val="3"/>
        </w:numPr>
        <w:spacing w:after="60" w:line="360" w:lineRule="auto"/>
        <w:ind w:left="0" w:firstLine="424" w:firstLineChars="202"/>
        <w:jc w:val="left"/>
        <w:rPr>
          <w:rFonts w:hint="eastAsia" w:ascii="宋体" w:hAnsi="宋体"/>
          <w:szCs w:val="21"/>
        </w:rPr>
      </w:pPr>
      <w:r>
        <w:rPr>
          <w:rFonts w:hint="eastAsia" w:ascii="宋体" w:hAnsi="宋体"/>
          <w:szCs w:val="21"/>
        </w:rPr>
        <w:t>本项目按折扣率报价。协审费用按深圳市造价工程师协会《深圳市建设工程造价咨询业收费标市场标准》（深价协〔2017〕8号）文件中</w:t>
      </w:r>
      <w:r>
        <w:rPr>
          <w:rFonts w:ascii="宋体" w:hAnsi="宋体"/>
          <w:szCs w:val="21"/>
        </w:rPr>
        <w:t>收费</w:t>
      </w:r>
      <w:r>
        <w:rPr>
          <w:rFonts w:hint="eastAsia" w:ascii="宋体" w:hAnsi="宋体"/>
          <w:szCs w:val="21"/>
        </w:rPr>
        <w:t>标准计费后再按中标单位投标时所报下浮率下浮，以下浮后的取费为最终协审费用。单个结算协审项目最低酬金计费不少于3000元，经按上述取费标准及下浮率计算后的单个项目酬金不足人民币3000元的按3000元计。单个决算协审项目最低酬金计费不少于1500元，经按上述取费标准及下浮率计算后的单个项目酬金不足人民币1500元的按1500元计。不另行支付合同服务期内提供工程设备材料询价服务网络的（一个子帐号及密码）使用授权的费用。</w:t>
      </w:r>
    </w:p>
    <w:p w14:paraId="46D10853">
      <w:pPr>
        <w:pStyle w:val="9"/>
        <w:numPr>
          <w:ilvl w:val="0"/>
          <w:numId w:val="3"/>
        </w:numPr>
        <w:spacing w:after="60" w:line="360" w:lineRule="auto"/>
        <w:ind w:left="0" w:firstLine="424" w:firstLineChars="202"/>
        <w:rPr>
          <w:rFonts w:hint="eastAsia" w:ascii="宋体" w:hAnsi="宋体"/>
          <w:szCs w:val="21"/>
        </w:rPr>
      </w:pPr>
      <w:r>
        <w:rPr>
          <w:rFonts w:hint="eastAsia" w:ascii="宋体" w:hAnsi="宋体"/>
          <w:szCs w:val="21"/>
        </w:rPr>
        <w:t>报价方式为：</w:t>
      </w:r>
      <w:r>
        <w:rPr>
          <w:rFonts w:hint="eastAsia"/>
        </w:rPr>
        <w:fldChar w:fldCharType="begin"/>
      </w:r>
      <w:r>
        <w:instrText xml:space="preserve"> HYPERLINK "http://www.zhongnongwang.com/）中报价为基础，下浮率报价（1" </w:instrText>
      </w:r>
      <w:r>
        <w:rPr>
          <w:rFonts w:hint="eastAsia"/>
        </w:rPr>
        <w:fldChar w:fldCharType="separate"/>
      </w:r>
      <w:r>
        <w:rPr>
          <w:rFonts w:hint="eastAsia" w:ascii="宋体" w:hAnsi="宋体"/>
          <w:szCs w:val="21"/>
        </w:rPr>
        <w:t>折扣率报价（1</w:t>
      </w:r>
      <w:r>
        <w:rPr>
          <w:rFonts w:hint="eastAsia" w:ascii="宋体" w:hAnsi="宋体"/>
          <w:szCs w:val="21"/>
        </w:rPr>
        <w:fldChar w:fldCharType="end"/>
      </w:r>
      <w:r>
        <w:rPr>
          <w:rFonts w:hint="eastAsia" w:ascii="宋体" w:hAnsi="宋体"/>
          <w:szCs w:val="21"/>
        </w:rPr>
        <w:t>为不打折，如报95折即填写0.95），折扣率报价为0的，按无效投标处理。</w:t>
      </w:r>
    </w:p>
    <w:p w14:paraId="5C392268">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r>
        <w:rPr>
          <w:rFonts w:hint="eastAsia" w:ascii="宋体" w:hAnsi="宋体"/>
          <w:szCs w:val="21"/>
        </w:rPr>
        <w:t>按每季度按实际完成项目结算支付一次。</w:t>
      </w:r>
    </w:p>
    <w:p w14:paraId="16E9C9D9">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宋体" w:hAnsi="宋体"/>
          <w:b/>
          <w:bCs/>
          <w:szCs w:val="21"/>
        </w:rPr>
        <w:t>其他需说明的事项</w:t>
      </w:r>
      <w:r>
        <w:rPr>
          <w:rFonts w:hint="eastAsia" w:asciiTheme="minorEastAsia" w:hAnsiTheme="minorEastAsia" w:eastAsiaTheme="minorEastAsia"/>
          <w:b/>
          <w:bCs/>
          <w:szCs w:val="21"/>
        </w:rPr>
        <w:t>；</w:t>
      </w:r>
      <w:r>
        <w:rPr>
          <w:rFonts w:asciiTheme="minorEastAsia" w:hAnsiTheme="minorEastAsia" w:eastAsiaTheme="minorEastAsia"/>
          <w:b/>
          <w:szCs w:val="21"/>
        </w:rPr>
        <w:t xml:space="preserve"> </w:t>
      </w:r>
      <w:r>
        <w:rPr>
          <w:rFonts w:hint="eastAsia" w:ascii="宋体" w:hAnsi="宋体"/>
          <w:szCs w:val="21"/>
        </w:rPr>
        <w:t>投标人在投标文件中出具书面承诺书，承诺公司派出项目组人员严格实行岗、人、证相符合，在任何情况下不得更换工作人员，否则无条件接受按履约评价不合格处理，并中止合同。</w:t>
      </w:r>
    </w:p>
    <w:p w14:paraId="61AC80F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A7BF4"/>
    <w:multiLevelType w:val="multilevel"/>
    <w:tmpl w:val="316A7BF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DFA2C91"/>
    <w:multiLevelType w:val="singleLevel"/>
    <w:tmpl w:val="3DFA2C91"/>
    <w:lvl w:ilvl="0" w:tentative="0">
      <w:start w:val="1"/>
      <w:numFmt w:val="decimal"/>
      <w:lvlText w:val="%1."/>
      <w:lvlJc w:val="left"/>
      <w:pPr>
        <w:tabs>
          <w:tab w:val="left" w:pos="312"/>
        </w:tabs>
      </w:pPr>
    </w:lvl>
  </w:abstractNum>
  <w:abstractNum w:abstractNumId="2">
    <w:nsid w:val="541285ED"/>
    <w:multiLevelType w:val="singleLevel"/>
    <w:tmpl w:val="541285ED"/>
    <w:lvl w:ilvl="0" w:tentative="0">
      <w:start w:val="1"/>
      <w:numFmt w:val="decimal"/>
      <w:lvlText w:val="%1."/>
      <w:lvlJc w:val="left"/>
      <w:pPr>
        <w:tabs>
          <w:tab w:val="left" w:pos="312"/>
        </w:tabs>
      </w:pPr>
      <w:rPr>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F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 w:type="paragraph" w:styleId="9">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2025-04-25T08:15:24Z</dcterms:created>
  <dc:creator>Administrator</dc:creator>
  <cp:lastModifiedBy>Administrator</cp:lastModifiedBy>
  <dcterms:modified xsi:type="dcterms:W3CDTF">2025-04-25T08:16:02Z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3B50AF7B68234171947A24F86AFB0280_12</vt:lpwstr>
  </property>
</Properties>
</file>