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F6389">
      <w:pPr>
        <w:pStyle w:val="6"/>
        <w:spacing w:before="120" w:after="120"/>
        <w:rPr>
          <w:rStyle w:val="7"/>
          <w:b w:val="0"/>
          <w:bCs w:val="0"/>
        </w:rPr>
      </w:pPr>
      <w:r>
        <w:rPr>
          <w:rStyle w:val="7"/>
          <w:rFonts w:hint="eastAsia"/>
          <w:b w:val="0"/>
          <w:bCs w:val="0"/>
        </w:rPr>
        <w:t>服务需求书</w:t>
      </w:r>
    </w:p>
    <w:p w14:paraId="0E2A81AC">
      <w:pPr>
        <w:spacing w:after="60" w:line="360" w:lineRule="auto"/>
        <w:ind w:right="-63" w:rightChars="-30" w:firstLine="426"/>
        <w:rPr>
          <w:rFonts w:hint="eastAsia" w:ascii="宋体" w:hAnsi="宋体"/>
          <w:b/>
          <w:color w:val="FF0000"/>
        </w:rPr>
      </w:pPr>
      <w:r>
        <w:rPr>
          <w:rFonts w:hint="eastAsia" w:ascii="宋体" w:hAnsi="宋体"/>
          <w:b/>
          <w:color w:val="FF0000"/>
        </w:rPr>
        <w:t>1. 带“★”项为不可负偏离项，有一项负偏离即导致投标无效。是否响应第六章服务需求书，以《服务条款偏离表》“投标文件响应”栏填写为准。</w:t>
      </w:r>
    </w:p>
    <w:p w14:paraId="0FBD638D">
      <w:pPr>
        <w:spacing w:after="60" w:line="360" w:lineRule="auto"/>
        <w:ind w:right="-63" w:rightChars="-30" w:firstLine="426"/>
        <w:rPr>
          <w:rFonts w:hint="eastAsia" w:ascii="宋体" w:hAnsi="宋体"/>
          <w:b/>
          <w:color w:val="FF0000"/>
        </w:rPr>
      </w:pPr>
      <w:r>
        <w:rPr>
          <w:rFonts w:hint="eastAsia" w:ascii="宋体" w:hAnsi="宋体"/>
          <w:b/>
          <w:color w:val="FF0000"/>
        </w:rPr>
        <w:t>2.如投标人中标后被发现不能满足本章带★号条款要求的，采购单位有权拒绝签订合同，一切后果由投标人承担。</w:t>
      </w:r>
    </w:p>
    <w:p w14:paraId="6FA0D74F">
      <w:pPr>
        <w:pStyle w:val="2"/>
      </w:pPr>
    </w:p>
    <w:p w14:paraId="0870EFA8">
      <w:pPr>
        <w:spacing w:after="60" w:line="360" w:lineRule="auto"/>
        <w:jc w:val="left"/>
        <w:rPr>
          <w:rFonts w:hint="eastAsia" w:asciiTheme="minorEastAsia" w:hAnsiTheme="minorEastAsia" w:eastAsiaTheme="minorEastAsia"/>
          <w:szCs w:val="21"/>
        </w:rPr>
      </w:pPr>
      <w:r>
        <w:rPr>
          <w:rFonts w:hint="eastAsia" w:asciiTheme="minorEastAsia" w:hAnsiTheme="minorEastAsia" w:eastAsiaTheme="minorEastAsia"/>
          <w:b/>
          <w:szCs w:val="21"/>
        </w:rPr>
        <w:t>（一）</w:t>
      </w:r>
      <w:r>
        <w:rPr>
          <w:rFonts w:hint="eastAsia" w:asciiTheme="minorEastAsia" w:hAnsiTheme="minorEastAsia" w:eastAsiaTheme="minorEastAsia"/>
          <w:b/>
          <w:bCs/>
          <w:szCs w:val="21"/>
        </w:rPr>
        <w:t>采购项目概况</w:t>
      </w:r>
      <w:r>
        <w:rPr>
          <w:rFonts w:hint="eastAsia" w:asciiTheme="minorEastAsia" w:hAnsiTheme="minorEastAsia" w:eastAsiaTheme="minorEastAsia"/>
          <w:szCs w:val="21"/>
        </w:rPr>
        <w:t>：</w:t>
      </w:r>
    </w:p>
    <w:p w14:paraId="6FA6C08B">
      <w:pPr>
        <w:numPr>
          <w:ilvl w:val="0"/>
          <w:numId w:val="1"/>
        </w:numPr>
        <w:spacing w:afterLines="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项目名称；宝安区2025年度工贸行业安全风险评估及管控工作采购项目</w:t>
      </w:r>
    </w:p>
    <w:p w14:paraId="6B357D65">
      <w:pPr>
        <w:numPr>
          <w:ilvl w:val="0"/>
          <w:numId w:val="1"/>
        </w:numPr>
        <w:spacing w:afterLines="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项目预算金额或预算金额之下的最高限额；</w:t>
      </w:r>
      <w:r>
        <w:rPr>
          <w:rFonts w:hint="eastAsia" w:cs="宋体" w:asciiTheme="minorEastAsia" w:hAnsiTheme="minorEastAsia" w:eastAsiaTheme="minorEastAsia"/>
          <w:kern w:val="0"/>
          <w:szCs w:val="21"/>
        </w:rPr>
        <w:t>200,</w:t>
      </w:r>
      <w:r>
        <w:rPr>
          <w:rFonts w:cs="宋体" w:asciiTheme="minorEastAsia" w:hAnsiTheme="minorEastAsia" w:eastAsiaTheme="minorEastAsia"/>
          <w:kern w:val="0"/>
          <w:szCs w:val="21"/>
        </w:rPr>
        <w:t>000</w:t>
      </w:r>
      <w:r>
        <w:rPr>
          <w:rFonts w:hint="eastAsia" w:cs="宋体" w:asciiTheme="minorEastAsia" w:hAnsiTheme="minorEastAsia" w:eastAsiaTheme="minorEastAsia"/>
          <w:kern w:val="0"/>
          <w:szCs w:val="21"/>
        </w:rPr>
        <w:t>.00</w:t>
      </w:r>
      <w:r>
        <w:rPr>
          <w:rFonts w:hint="eastAsia" w:cs="宋体" w:asciiTheme="minorEastAsia" w:hAnsiTheme="minorEastAsia"/>
          <w:kern w:val="0"/>
          <w:szCs w:val="21"/>
        </w:rPr>
        <w:t>元</w:t>
      </w:r>
    </w:p>
    <w:p w14:paraId="7E1870EB">
      <w:pPr>
        <w:spacing w:after="60" w:line="360" w:lineRule="auto"/>
        <w:jc w:val="left"/>
        <w:rPr>
          <w:rFonts w:hint="eastAsia" w:asciiTheme="minorEastAsia" w:hAnsiTheme="minorEastAsia" w:eastAsiaTheme="minorEastAsia"/>
          <w:szCs w:val="21"/>
        </w:rPr>
      </w:pPr>
      <w:r>
        <w:rPr>
          <w:rFonts w:hint="eastAsia" w:asciiTheme="minorEastAsia" w:hAnsiTheme="minorEastAsia" w:eastAsiaTheme="minorEastAsia"/>
          <w:b/>
          <w:bCs/>
          <w:szCs w:val="21"/>
        </w:rPr>
        <w:t>（二）项目管理和服务要求</w:t>
      </w:r>
      <w:r>
        <w:rPr>
          <w:rFonts w:hint="eastAsia" w:asciiTheme="minorEastAsia" w:hAnsiTheme="minorEastAsia" w:eastAsiaTheme="minorEastAsia"/>
          <w:szCs w:val="21"/>
        </w:rPr>
        <w:t>：</w:t>
      </w:r>
    </w:p>
    <w:p w14:paraId="0AB0D080">
      <w:pPr>
        <w:numPr>
          <w:ilvl w:val="0"/>
          <w:numId w:val="2"/>
        </w:numPr>
        <w:spacing w:afterLines="0" w:line="360" w:lineRule="auto"/>
        <w:ind w:firstLine="422" w:firstLineChars="200"/>
        <w:jc w:val="left"/>
        <w:rPr>
          <w:rFonts w:hint="eastAsia" w:asciiTheme="minorEastAsia" w:hAnsiTheme="minorEastAsia" w:eastAsiaTheme="minorEastAsia"/>
          <w:szCs w:val="21"/>
        </w:rPr>
      </w:pPr>
      <w:r>
        <w:rPr>
          <w:rFonts w:hint="eastAsia" w:asciiTheme="minorEastAsia" w:hAnsiTheme="minorEastAsia" w:eastAsiaTheme="minorEastAsia"/>
          <w:b/>
          <w:szCs w:val="21"/>
        </w:rPr>
        <w:t>项目概况；</w:t>
      </w:r>
      <w:r>
        <w:rPr>
          <w:rFonts w:hint="eastAsia" w:asciiTheme="minorEastAsia" w:hAnsiTheme="minorEastAsia" w:eastAsiaTheme="minorEastAsia"/>
          <w:szCs w:val="21"/>
        </w:rPr>
        <w:t>根据省、市安全风险管控暂行办法要求，各区要组织开展本辖区安全风险评估和管控工作。现需聘请中介机构开展</w:t>
      </w:r>
      <w:r>
        <w:rPr>
          <w:rFonts w:asciiTheme="minorEastAsia" w:hAnsiTheme="minorEastAsia" w:eastAsiaTheme="minorEastAsia"/>
          <w:szCs w:val="21"/>
        </w:rPr>
        <w:t>20</w:t>
      </w:r>
      <w:r>
        <w:rPr>
          <w:rFonts w:hint="eastAsia" w:asciiTheme="minorEastAsia" w:hAnsiTheme="minorEastAsia" w:eastAsiaTheme="minorEastAsia"/>
          <w:szCs w:val="21"/>
        </w:rPr>
        <w:t>25</w:t>
      </w:r>
      <w:r>
        <w:rPr>
          <w:rFonts w:asciiTheme="minorEastAsia" w:hAnsiTheme="minorEastAsia" w:eastAsiaTheme="minorEastAsia"/>
          <w:szCs w:val="21"/>
        </w:rPr>
        <w:t>年</w:t>
      </w:r>
      <w:r>
        <w:rPr>
          <w:rFonts w:hint="eastAsia" w:asciiTheme="minorEastAsia" w:hAnsiTheme="minorEastAsia" w:eastAsiaTheme="minorEastAsia"/>
          <w:szCs w:val="21"/>
        </w:rPr>
        <w:t>工贸行业</w:t>
      </w:r>
      <w:r>
        <w:rPr>
          <w:rFonts w:asciiTheme="minorEastAsia" w:hAnsiTheme="minorEastAsia" w:eastAsiaTheme="minorEastAsia"/>
          <w:szCs w:val="21"/>
        </w:rPr>
        <w:t>安全风险评估及管控工作，具体包括：开展</w:t>
      </w:r>
      <w:r>
        <w:rPr>
          <w:rFonts w:hint="eastAsia" w:asciiTheme="minorEastAsia" w:hAnsiTheme="minorEastAsia" w:eastAsiaTheme="minorEastAsia"/>
          <w:szCs w:val="21"/>
        </w:rPr>
        <w:t>工贸行业</w:t>
      </w:r>
      <w:r>
        <w:rPr>
          <w:rFonts w:asciiTheme="minorEastAsia" w:hAnsiTheme="minorEastAsia" w:eastAsiaTheme="minorEastAsia"/>
          <w:szCs w:val="21"/>
        </w:rPr>
        <w:t>安全风险评估及管控工作，组织对</w:t>
      </w:r>
      <w:r>
        <w:rPr>
          <w:rFonts w:hint="eastAsia" w:asciiTheme="minorEastAsia" w:hAnsiTheme="minorEastAsia" w:eastAsiaTheme="minorEastAsia"/>
          <w:szCs w:val="21"/>
        </w:rPr>
        <w:t>“深圳市城市安全事故灾难风险评估系统”</w:t>
      </w:r>
      <w:r>
        <w:rPr>
          <w:rFonts w:asciiTheme="minorEastAsia" w:hAnsiTheme="minorEastAsia" w:eastAsiaTheme="minorEastAsia"/>
          <w:szCs w:val="21"/>
        </w:rPr>
        <w:t>的红、橙、黄</w:t>
      </w:r>
      <w:r>
        <w:rPr>
          <w:rFonts w:hint="eastAsia" w:asciiTheme="minorEastAsia" w:hAnsiTheme="minorEastAsia" w:eastAsiaTheme="minorEastAsia"/>
          <w:szCs w:val="21"/>
        </w:rPr>
        <w:t>、蓝等级风险</w:t>
      </w:r>
      <w:r>
        <w:rPr>
          <w:rFonts w:asciiTheme="minorEastAsia" w:hAnsiTheme="minorEastAsia" w:eastAsiaTheme="minorEastAsia"/>
          <w:szCs w:val="21"/>
        </w:rPr>
        <w:t>点位（约</w:t>
      </w:r>
      <w:r>
        <w:rPr>
          <w:rFonts w:hint="eastAsia" w:asciiTheme="minorEastAsia" w:hAnsiTheme="minorEastAsia" w:eastAsiaTheme="minorEastAsia"/>
          <w:szCs w:val="21"/>
        </w:rPr>
        <w:t>250</w:t>
      </w:r>
      <w:r>
        <w:rPr>
          <w:rFonts w:asciiTheme="minorEastAsia" w:hAnsiTheme="minorEastAsia" w:eastAsiaTheme="minorEastAsia"/>
          <w:szCs w:val="21"/>
        </w:rPr>
        <w:t>个</w:t>
      </w:r>
      <w:r>
        <w:rPr>
          <w:rFonts w:hint="eastAsia" w:asciiTheme="minorEastAsia" w:hAnsiTheme="minorEastAsia" w:eastAsiaTheme="minorEastAsia"/>
          <w:szCs w:val="21"/>
        </w:rPr>
        <w:t>，包含既有风险点位和新增风险点位风险评估</w:t>
      </w:r>
      <w:r>
        <w:rPr>
          <w:rFonts w:asciiTheme="minorEastAsia" w:hAnsiTheme="minorEastAsia" w:eastAsiaTheme="minorEastAsia"/>
          <w:szCs w:val="21"/>
        </w:rPr>
        <w:t>）</w:t>
      </w:r>
      <w:r>
        <w:rPr>
          <w:rFonts w:hint="eastAsia" w:asciiTheme="minorEastAsia" w:hAnsiTheme="minorEastAsia" w:eastAsiaTheme="minorEastAsia"/>
          <w:szCs w:val="21"/>
        </w:rPr>
        <w:t>开展</w:t>
      </w:r>
      <w:r>
        <w:rPr>
          <w:rFonts w:asciiTheme="minorEastAsia" w:hAnsiTheme="minorEastAsia" w:eastAsiaTheme="minorEastAsia"/>
          <w:szCs w:val="21"/>
        </w:rPr>
        <w:t>现场</w:t>
      </w:r>
      <w:r>
        <w:rPr>
          <w:rFonts w:hint="eastAsia" w:asciiTheme="minorEastAsia" w:hAnsiTheme="minorEastAsia" w:eastAsiaTheme="minorEastAsia"/>
          <w:szCs w:val="21"/>
        </w:rPr>
        <w:t>复核</w:t>
      </w:r>
      <w:r>
        <w:rPr>
          <w:rFonts w:asciiTheme="minorEastAsia" w:hAnsiTheme="minorEastAsia" w:eastAsiaTheme="minorEastAsia"/>
          <w:szCs w:val="21"/>
        </w:rPr>
        <w:t>工作，梳理形成类别风险清单，落实风险管控工作</w:t>
      </w:r>
      <w:r>
        <w:rPr>
          <w:rFonts w:hint="eastAsia" w:asciiTheme="minorEastAsia" w:hAnsiTheme="minorEastAsia" w:eastAsiaTheme="minorEastAsia"/>
          <w:szCs w:val="21"/>
        </w:rPr>
        <w:t>要求。</w:t>
      </w:r>
    </w:p>
    <w:p w14:paraId="1596B544">
      <w:pPr>
        <w:numPr>
          <w:ilvl w:val="0"/>
          <w:numId w:val="2"/>
        </w:numPr>
        <w:spacing w:afterLines="0" w:line="360" w:lineRule="auto"/>
        <w:ind w:firstLine="422" w:firstLineChars="200"/>
        <w:jc w:val="left"/>
        <w:rPr>
          <w:rFonts w:hint="eastAsia" w:asciiTheme="minorEastAsia" w:hAnsiTheme="minorEastAsia" w:eastAsiaTheme="minorEastAsia"/>
          <w:szCs w:val="21"/>
        </w:rPr>
      </w:pPr>
      <w:r>
        <w:rPr>
          <w:rFonts w:hint="eastAsia" w:asciiTheme="minorEastAsia" w:hAnsiTheme="minorEastAsia" w:eastAsiaTheme="minorEastAsia"/>
          <w:b/>
          <w:szCs w:val="21"/>
        </w:rPr>
        <w:t>服务期限；</w:t>
      </w:r>
      <w:r>
        <w:rPr>
          <w:rFonts w:hint="eastAsia" w:asciiTheme="minorEastAsia" w:hAnsiTheme="minorEastAsia" w:eastAsiaTheme="minorEastAsia"/>
          <w:szCs w:val="21"/>
        </w:rPr>
        <w:t>2025年9月30日之前完成。</w:t>
      </w:r>
    </w:p>
    <w:p w14:paraId="51B4A447">
      <w:pPr>
        <w:numPr>
          <w:ilvl w:val="0"/>
          <w:numId w:val="2"/>
        </w:numPr>
        <w:spacing w:afterLines="0" w:line="360" w:lineRule="auto"/>
        <w:ind w:firstLine="422" w:firstLineChars="200"/>
        <w:jc w:val="left"/>
        <w:rPr>
          <w:rStyle w:val="8"/>
          <w:rFonts w:hint="eastAsia" w:asciiTheme="minorEastAsia" w:hAnsiTheme="minorEastAsia" w:eastAsiaTheme="minorEastAsia"/>
          <w:b/>
          <w:bCs/>
          <w:szCs w:val="21"/>
        </w:rPr>
      </w:pPr>
      <w:r>
        <w:rPr>
          <w:rFonts w:hint="eastAsia" w:asciiTheme="minorEastAsia" w:hAnsiTheme="minorEastAsia" w:eastAsiaTheme="minorEastAsia"/>
          <w:b/>
          <w:szCs w:val="21"/>
        </w:rPr>
        <w:t>服务内容、技术标准、工作质量要求；</w:t>
      </w:r>
    </w:p>
    <w:p w14:paraId="5D087A57">
      <w:pPr>
        <w:adjustRightInd w:val="0"/>
        <w:snapToGrid w:val="0"/>
        <w:spacing w:after="60" w:line="360" w:lineRule="auto"/>
        <w:ind w:firstLine="422" w:firstLineChars="200"/>
        <w:rPr>
          <w:rFonts w:hint="eastAsia" w:ascii="宋体" w:hAnsi="宋体"/>
          <w:szCs w:val="21"/>
        </w:rPr>
      </w:pPr>
      <w:r>
        <w:rPr>
          <w:rFonts w:hint="eastAsia" w:ascii="宋体" w:hAnsi="宋体" w:cs="楷体_GB2312"/>
          <w:b/>
          <w:bCs/>
          <w:szCs w:val="21"/>
        </w:rPr>
        <w:t>（1）开展现场复核。</w:t>
      </w:r>
      <w:r>
        <w:rPr>
          <w:rFonts w:hint="eastAsia" w:ascii="宋体" w:hAnsi="宋体"/>
          <w:szCs w:val="21"/>
        </w:rPr>
        <w:t>根据“深圳市城市安全事故灾难风险评估系统”风险评估结果，从全区工贸行业红、橙、黄、蓝等级风险点位中，风险等级由高到低选取250个点位，按照“一月一主题”组织专家开展风险点位现场复核工作，对系统内既有风险点位和新增风险点位风险信息填报是否准确、风险源信息上报是否全面、相关管控措施是否落实情况等方面开展核查。</w:t>
      </w:r>
    </w:p>
    <w:p w14:paraId="294A4E8C">
      <w:pPr>
        <w:adjustRightInd w:val="0"/>
        <w:snapToGrid w:val="0"/>
        <w:spacing w:after="60" w:line="360" w:lineRule="auto"/>
        <w:ind w:firstLine="422" w:firstLineChars="200"/>
        <w:rPr>
          <w:rFonts w:hint="eastAsia" w:ascii="宋体" w:hAnsi="宋体"/>
          <w:szCs w:val="21"/>
        </w:rPr>
      </w:pPr>
      <w:r>
        <w:rPr>
          <w:rFonts w:hint="eastAsia" w:ascii="宋体" w:hAnsi="宋体" w:cs="楷体_GB2312"/>
          <w:b/>
          <w:bCs/>
          <w:szCs w:val="21"/>
        </w:rPr>
        <w:t>（2）完善风险信息台账。</w:t>
      </w:r>
      <w:r>
        <w:rPr>
          <w:rFonts w:hint="eastAsia" w:ascii="宋体" w:hAnsi="宋体"/>
          <w:szCs w:val="21"/>
        </w:rPr>
        <w:t>根据现场复查情况，动态更新“深圳市城市安全事故灾难风险评估系统”内相关点位风险信息、矫正风险等级，完善辖区风险“一张图”。</w:t>
      </w:r>
    </w:p>
    <w:p w14:paraId="688BFA26">
      <w:pPr>
        <w:pStyle w:val="2"/>
        <w:ind w:firstLine="422" w:firstLineChars="200"/>
        <w:rPr>
          <w:rFonts w:hint="eastAsia" w:ascii="宋体" w:hAnsi="宋体"/>
          <w:szCs w:val="21"/>
        </w:rPr>
      </w:pPr>
      <w:r>
        <w:rPr>
          <w:rFonts w:hint="eastAsia" w:ascii="宋体" w:hAnsi="宋体" w:cs="楷体_GB2312"/>
          <w:b/>
          <w:szCs w:val="21"/>
        </w:rPr>
        <w:t>（3）编制工作报告。</w:t>
      </w:r>
      <w:r>
        <w:rPr>
          <w:rFonts w:hint="eastAsia" w:ascii="宋体" w:hAnsi="宋体"/>
          <w:szCs w:val="21"/>
        </w:rPr>
        <w:t>根据工作情况编制《2025年度宝安区工贸行业安全风险管控报告》。</w:t>
      </w:r>
    </w:p>
    <w:p w14:paraId="308A3011">
      <w:pPr>
        <w:numPr>
          <w:ilvl w:val="0"/>
          <w:numId w:val="2"/>
        </w:numPr>
        <w:spacing w:afterLines="0" w:line="360" w:lineRule="auto"/>
        <w:ind w:firstLine="422" w:firstLineChars="200"/>
        <w:jc w:val="left"/>
        <w:rPr>
          <w:rFonts w:hint="eastAsia" w:asciiTheme="minorEastAsia" w:hAnsiTheme="minorEastAsia" w:eastAsiaTheme="minorEastAsia"/>
          <w:b/>
          <w:szCs w:val="21"/>
        </w:rPr>
      </w:pPr>
      <w:r>
        <w:rPr>
          <w:rFonts w:hint="eastAsia" w:asciiTheme="minorEastAsia" w:hAnsiTheme="minorEastAsia" w:eastAsiaTheme="minorEastAsia"/>
          <w:b/>
          <w:szCs w:val="21"/>
        </w:rPr>
        <w:t>人员要求（岗位要求、数量）</w:t>
      </w:r>
      <w:r>
        <w:rPr>
          <w:rFonts w:hint="eastAsia" w:asciiTheme="minorEastAsia" w:hAnsiTheme="minorEastAsia" w:eastAsiaTheme="minorEastAsia"/>
          <w:b/>
          <w:color w:val="FF0000"/>
          <w:szCs w:val="21"/>
        </w:rPr>
        <w:t>（人员要求在《服务条款偏离表》中承诺满足即可，中标供应商在签订合同前，必须按此要求配备符合要求的团队人员）</w:t>
      </w:r>
      <w:r>
        <w:rPr>
          <w:rFonts w:hint="eastAsia" w:asciiTheme="minorEastAsia" w:hAnsiTheme="minorEastAsia" w:eastAsiaTheme="minorEastAsia"/>
          <w:b/>
          <w:szCs w:val="21"/>
        </w:rPr>
        <w:t>；</w:t>
      </w:r>
    </w:p>
    <w:p w14:paraId="08B06C4C">
      <w:pPr>
        <w:adjustRightInd w:val="0"/>
        <w:snapToGrid w:val="0"/>
        <w:spacing w:after="60" w:line="360" w:lineRule="auto"/>
        <w:ind w:firstLine="420" w:firstLineChars="200"/>
        <w:rPr>
          <w:rFonts w:hint="eastAsia" w:ascii="宋体" w:hAnsi="宋体" w:cs="Arial"/>
          <w:bCs/>
          <w:szCs w:val="21"/>
        </w:rPr>
      </w:pPr>
      <w:r>
        <w:rPr>
          <w:rFonts w:hint="eastAsia" w:ascii="宋体" w:hAnsi="宋体" w:cs="Arial"/>
          <w:bCs/>
          <w:szCs w:val="21"/>
        </w:rPr>
        <w:t>（一）项目团队配置不少于4人，其中项目负责人1人，技术服务团队成员不少于3人，了解和熟悉安全相关工作。</w:t>
      </w:r>
    </w:p>
    <w:p w14:paraId="733753FB">
      <w:pPr>
        <w:adjustRightInd w:val="0"/>
        <w:snapToGrid w:val="0"/>
        <w:spacing w:after="60" w:line="360" w:lineRule="auto"/>
        <w:ind w:firstLine="420" w:firstLineChars="200"/>
        <w:rPr>
          <w:rFonts w:hint="eastAsia" w:ascii="宋体" w:hAnsi="宋体" w:cs="Arial"/>
          <w:bCs/>
          <w:szCs w:val="21"/>
        </w:rPr>
      </w:pPr>
      <w:r>
        <w:rPr>
          <w:rFonts w:hint="eastAsia" w:ascii="宋体" w:hAnsi="宋体" w:cs="Arial"/>
          <w:bCs/>
          <w:szCs w:val="21"/>
        </w:rPr>
        <w:t>★（二）项目负责人须持有注册安全工程师证书，技术服务团队成员不少于2人具有注册安全工程师证书或一级消防工程师证书或安全评价师证书。</w:t>
      </w:r>
    </w:p>
    <w:p w14:paraId="2C9DC31D">
      <w:pPr>
        <w:adjustRightInd w:val="0"/>
        <w:snapToGrid w:val="0"/>
        <w:spacing w:after="60" w:line="360" w:lineRule="auto"/>
        <w:ind w:firstLine="420" w:firstLineChars="200"/>
        <w:rPr>
          <w:rFonts w:hint="eastAsia" w:ascii="宋体" w:hAnsi="宋体" w:cs="Arial"/>
          <w:bCs/>
          <w:szCs w:val="21"/>
        </w:rPr>
      </w:pPr>
      <w:r>
        <w:rPr>
          <w:rFonts w:hint="eastAsia" w:ascii="宋体" w:hAnsi="宋体" w:cs="Arial"/>
          <w:bCs/>
          <w:szCs w:val="21"/>
        </w:rPr>
        <w:t>（三）在服务期限内，投标人应按照投标文件中承诺安排项目负责人和团队成员，未经采购人同意投标人不能更换。</w:t>
      </w:r>
    </w:p>
    <w:p w14:paraId="4944B065">
      <w:pPr>
        <w:numPr>
          <w:ilvl w:val="0"/>
          <w:numId w:val="2"/>
        </w:numPr>
        <w:spacing w:afterLines="0" w:line="360" w:lineRule="auto"/>
        <w:ind w:firstLine="422" w:firstLineChars="200"/>
        <w:jc w:val="left"/>
        <w:rPr>
          <w:rFonts w:hint="eastAsia" w:ascii="宋体" w:hAnsi="宋体"/>
          <w:bCs/>
          <w:szCs w:val="21"/>
        </w:rPr>
      </w:pPr>
      <w:r>
        <w:rPr>
          <w:rFonts w:hint="eastAsia" w:asciiTheme="minorEastAsia" w:hAnsiTheme="minorEastAsia" w:eastAsiaTheme="minorEastAsia"/>
          <w:b/>
          <w:szCs w:val="21"/>
        </w:rPr>
        <w:t>验收方式；</w:t>
      </w:r>
      <w:r>
        <w:rPr>
          <w:rFonts w:hint="eastAsia" w:ascii="宋体" w:hAnsi="宋体"/>
          <w:bCs/>
          <w:szCs w:val="21"/>
        </w:rPr>
        <w:t>由甲方组织召开业务会进行项目验收工作。</w:t>
      </w:r>
    </w:p>
    <w:p w14:paraId="5A0E7D3E">
      <w:pPr>
        <w:numPr>
          <w:ilvl w:val="0"/>
          <w:numId w:val="2"/>
        </w:numPr>
        <w:spacing w:afterLines="0" w:line="360" w:lineRule="auto"/>
        <w:ind w:firstLine="422" w:firstLineChars="200"/>
        <w:jc w:val="left"/>
        <w:rPr>
          <w:rFonts w:hint="eastAsia" w:ascii="宋体" w:hAnsi="宋体"/>
          <w:bCs/>
          <w:szCs w:val="21"/>
        </w:rPr>
      </w:pPr>
      <w:r>
        <w:rPr>
          <w:rFonts w:hint="eastAsia" w:asciiTheme="minorEastAsia" w:hAnsiTheme="minorEastAsia" w:eastAsiaTheme="minorEastAsia"/>
          <w:b/>
          <w:szCs w:val="21"/>
        </w:rPr>
        <w:t>考核办法/验收方式；</w:t>
      </w:r>
      <w:r>
        <w:rPr>
          <w:rFonts w:hint="eastAsia" w:ascii="宋体" w:hAnsi="宋体"/>
          <w:bCs/>
          <w:szCs w:val="21"/>
        </w:rPr>
        <w:t>项目完成后，采购单位对中标单位进行履约服务评价，并对中标单位的相关工作成果进行验收。</w:t>
      </w:r>
    </w:p>
    <w:p w14:paraId="7C63C400">
      <w:pPr>
        <w:numPr>
          <w:ilvl w:val="0"/>
          <w:numId w:val="2"/>
        </w:numPr>
        <w:spacing w:afterLines="0" w:line="360" w:lineRule="auto"/>
        <w:ind w:firstLine="422" w:firstLineChars="200"/>
        <w:jc w:val="left"/>
        <w:rPr>
          <w:rFonts w:hint="eastAsia" w:asciiTheme="minorEastAsia" w:hAnsiTheme="minorEastAsia" w:eastAsiaTheme="minorEastAsia"/>
          <w:b/>
          <w:szCs w:val="21"/>
        </w:rPr>
      </w:pPr>
      <w:r>
        <w:rPr>
          <w:rFonts w:hint="eastAsia" w:asciiTheme="minorEastAsia" w:hAnsiTheme="minorEastAsia" w:eastAsiaTheme="minorEastAsia"/>
          <w:b/>
          <w:szCs w:val="21"/>
        </w:rPr>
        <w:t>报价要求；</w:t>
      </w:r>
    </w:p>
    <w:p w14:paraId="52FF24E9">
      <w:pPr>
        <w:adjustRightInd w:val="0"/>
        <w:snapToGrid w:val="0"/>
        <w:spacing w:after="60" w:line="360" w:lineRule="auto"/>
        <w:ind w:firstLine="420" w:firstLineChars="200"/>
        <w:rPr>
          <w:rFonts w:hint="eastAsia" w:ascii="宋体" w:hAnsi="宋体"/>
          <w:bCs/>
          <w:szCs w:val="21"/>
        </w:rPr>
      </w:pPr>
      <w:r>
        <w:rPr>
          <w:rFonts w:ascii="宋体" w:hAnsi="宋体"/>
          <w:bCs/>
          <w:szCs w:val="21"/>
        </w:rPr>
        <w:t>（一）</w:t>
      </w:r>
      <w:r>
        <w:rPr>
          <w:rFonts w:hint="eastAsia" w:ascii="宋体" w:hAnsi="宋体"/>
          <w:bCs/>
          <w:szCs w:val="21"/>
        </w:rPr>
        <w:t>本项目费用采用包干制，应包括劳务费、工具费、劳保费、安全费、法定税费和企业的利润。由投标人根据招标文件所提供的资料自行测算投标报价；一经中标，投标报价总价作为中标单位签订的合同金额，合同期限内不作调整；</w:t>
      </w:r>
    </w:p>
    <w:p w14:paraId="2137D44A">
      <w:pPr>
        <w:adjustRightInd w:val="0"/>
        <w:snapToGrid w:val="0"/>
        <w:spacing w:after="60" w:line="360" w:lineRule="auto"/>
        <w:ind w:firstLine="420" w:firstLineChars="200"/>
        <w:rPr>
          <w:rFonts w:hint="eastAsia" w:ascii="宋体" w:hAnsi="宋体"/>
          <w:bCs/>
          <w:szCs w:val="21"/>
        </w:rPr>
      </w:pPr>
      <w:r>
        <w:rPr>
          <w:rFonts w:ascii="宋体" w:hAnsi="宋体"/>
          <w:bCs/>
          <w:szCs w:val="21"/>
        </w:rPr>
        <w:t>（二）</w:t>
      </w:r>
      <w:r>
        <w:rPr>
          <w:rFonts w:hint="eastAsia" w:ascii="宋体" w:hAnsi="宋体"/>
          <w:bCs/>
          <w:szCs w:val="21"/>
        </w:rPr>
        <w:t>投标人应根据本企业的成本自行决定报价，但不得以低于其企业成本的报价投标。</w:t>
      </w:r>
    </w:p>
    <w:p w14:paraId="2944F257">
      <w:pPr>
        <w:numPr>
          <w:ilvl w:val="0"/>
          <w:numId w:val="2"/>
        </w:numPr>
        <w:spacing w:afterLines="0" w:line="360" w:lineRule="auto"/>
        <w:ind w:firstLine="420" w:firstLineChars="200"/>
        <w:jc w:val="left"/>
        <w:rPr>
          <w:rFonts w:hint="eastAsia" w:asciiTheme="minorEastAsia" w:hAnsiTheme="minorEastAsia" w:eastAsiaTheme="minorEastAsia"/>
          <w:b/>
          <w:szCs w:val="21"/>
        </w:rPr>
      </w:pPr>
      <w:r>
        <w:rPr>
          <w:rFonts w:hint="eastAsia" w:asciiTheme="minorEastAsia" w:hAnsiTheme="minorEastAsia" w:eastAsiaTheme="minorEastAsia"/>
          <w:szCs w:val="21"/>
        </w:rPr>
        <w:t>★</w:t>
      </w:r>
      <w:r>
        <w:rPr>
          <w:rFonts w:hint="eastAsia" w:asciiTheme="minorEastAsia" w:hAnsiTheme="minorEastAsia" w:eastAsiaTheme="minorEastAsia"/>
          <w:b/>
          <w:szCs w:val="21"/>
        </w:rPr>
        <w:t>付款方式；</w:t>
      </w:r>
      <w:r>
        <w:rPr>
          <w:rFonts w:asciiTheme="minorEastAsia" w:hAnsiTheme="minorEastAsia" w:eastAsiaTheme="minorEastAsia"/>
          <w:b/>
          <w:szCs w:val="21"/>
        </w:rPr>
        <w:t xml:space="preserve"> </w:t>
      </w:r>
    </w:p>
    <w:p w14:paraId="286E59A9">
      <w:pPr>
        <w:adjustRightInd w:val="0"/>
        <w:snapToGrid w:val="0"/>
        <w:spacing w:after="60" w:line="360" w:lineRule="auto"/>
        <w:ind w:firstLine="420" w:firstLineChars="200"/>
        <w:rPr>
          <w:rFonts w:hint="eastAsia" w:ascii="宋体" w:hAnsi="宋体"/>
          <w:bCs/>
          <w:szCs w:val="21"/>
        </w:rPr>
      </w:pPr>
      <w:r>
        <w:rPr>
          <w:rFonts w:ascii="宋体" w:hAnsi="宋体"/>
          <w:bCs/>
          <w:szCs w:val="21"/>
        </w:rPr>
        <w:t>（一）</w:t>
      </w:r>
      <w:r>
        <w:rPr>
          <w:rFonts w:hint="eastAsia" w:ascii="宋体" w:hAnsi="宋体"/>
          <w:bCs/>
          <w:szCs w:val="21"/>
        </w:rPr>
        <w:t>签订合同，乙方提交项目实施方案，甲方支付70%的合同款项；</w:t>
      </w:r>
    </w:p>
    <w:p w14:paraId="2C72604B">
      <w:pPr>
        <w:adjustRightInd w:val="0"/>
        <w:snapToGrid w:val="0"/>
        <w:spacing w:after="60" w:line="360" w:lineRule="auto"/>
        <w:ind w:firstLine="420" w:firstLineChars="200"/>
        <w:rPr>
          <w:rFonts w:hint="eastAsia" w:ascii="宋体" w:hAnsi="宋体"/>
          <w:bCs/>
          <w:szCs w:val="21"/>
        </w:rPr>
      </w:pPr>
      <w:r>
        <w:rPr>
          <w:rFonts w:ascii="宋体" w:hAnsi="宋体"/>
          <w:bCs/>
          <w:szCs w:val="21"/>
        </w:rPr>
        <w:t>（二）</w:t>
      </w:r>
      <w:r>
        <w:rPr>
          <w:rFonts w:hint="eastAsia" w:ascii="宋体" w:hAnsi="宋体"/>
          <w:bCs/>
          <w:szCs w:val="21"/>
        </w:rPr>
        <w:t>乙方提交的最终成果经专家评审和甲方审查通过后，甲方支付剩余合同款项。</w:t>
      </w:r>
    </w:p>
    <w:p w14:paraId="2BA78D8B">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方正公文黑体"/>
    <w:panose1 w:val="00000000000000000000"/>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FA2C91"/>
    <w:multiLevelType w:val="singleLevel"/>
    <w:tmpl w:val="3DFA2C91"/>
    <w:lvl w:ilvl="0" w:tentative="0">
      <w:start w:val="1"/>
      <w:numFmt w:val="decimal"/>
      <w:lvlText w:val="%1."/>
      <w:lvlJc w:val="left"/>
      <w:pPr>
        <w:tabs>
          <w:tab w:val="left" w:pos="312"/>
        </w:tabs>
      </w:pPr>
    </w:lvl>
  </w:abstractNum>
  <w:abstractNum w:abstractNumId="1">
    <w:nsid w:val="541285ED"/>
    <w:multiLevelType w:val="singleLevel"/>
    <w:tmpl w:val="541285ED"/>
    <w:lvl w:ilvl="0" w:tentative="0">
      <w:start w:val="1"/>
      <w:numFmt w:val="decimal"/>
      <w:lvlText w:val="%1."/>
      <w:lvlJc w:val="left"/>
      <w:pPr>
        <w:tabs>
          <w:tab w:val="left" w:pos="312"/>
        </w:tabs>
      </w:pPr>
      <w:rPr>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E33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3">
    <w:name w:val="heading 1"/>
    <w:basedOn w:val="1"/>
    <w:next w:val="1"/>
    <w:link w:val="7"/>
    <w:qFormat/>
    <w:uiPriority w:val="9"/>
    <w:pPr>
      <w:keepNext/>
      <w:keepLines/>
      <w:spacing w:before="34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文档正文"/>
    <w:basedOn w:val="1"/>
    <w:qFormat/>
    <w:uiPriority w:val="0"/>
    <w:pPr>
      <w:spacing w:afterLines="0" w:line="360" w:lineRule="auto"/>
    </w:pPr>
    <w:rPr>
      <w:rFonts w:cs="Arial"/>
      <w:bCs/>
    </w:rPr>
  </w:style>
  <w:style w:type="paragraph" w:customStyle="1" w:styleId="6">
    <w:name w:val="1册标题1"/>
    <w:basedOn w:val="1"/>
    <w:next w:val="1"/>
    <w:qFormat/>
    <w:uiPriority w:val="0"/>
    <w:pPr>
      <w:spacing w:beforeLines="50" w:afterLines="50"/>
      <w:jc w:val="center"/>
      <w:outlineLvl w:val="0"/>
    </w:pPr>
    <w:rPr>
      <w:rFonts w:eastAsia="黑体"/>
      <w:b/>
      <w:bCs/>
      <w:sz w:val="48"/>
      <w:szCs w:val="20"/>
    </w:rPr>
  </w:style>
  <w:style w:type="character" w:customStyle="1" w:styleId="7">
    <w:name w:val="标题 1 字符"/>
    <w:basedOn w:val="5"/>
    <w:link w:val="3"/>
    <w:qFormat/>
    <w:uiPriority w:val="9"/>
    <w:rPr>
      <w:b/>
      <w:bCs/>
      <w:kern w:val="44"/>
      <w:sz w:val="44"/>
      <w:szCs w:val="44"/>
    </w:rPr>
  </w:style>
  <w:style w:type="character" w:customStyle="1" w:styleId="8">
    <w:name w:val="ht1"/>
    <w:qFormat/>
    <w:uiPriority w:val="0"/>
    <w:rPr>
      <w:rFonts w:hint="default" w:ascii="_x000B__x000C_" w:hAnsi="_x000B__x000C_"/>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2025-04-18T09:52:48Z</dcterms:created>
  <dc:creator>Administrator</dc:creator>
  <cp:lastModifiedBy>Administrator</cp:lastModifiedBy>
  <dcterms:modified xsi:type="dcterms:W3CDTF">2025-04-18T09:54:20Z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eyJoZGlkIjoiOWUyODI3ZDg3NjU4NzQ3NjJjMDhkZGY2ODVkYzI0NTAiLCJ1c2VySWQiOiI1MDk5NTI0NTYifQ==</vt:lpwstr>
  </property>
  <property fmtid="{D5CDD505-2E9C-101B-9397-08002B2CF9AE}" pid="4" name="ICV">
    <vt:lpwstr>78CA4B82E89C4FCBA991DA3E6F182C1B_12</vt:lpwstr>
  </property>
</Properties>
</file>