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8C1E53">
      <w:pPr>
        <w:pStyle w:val="7"/>
        <w:spacing w:before="120" w:after="120"/>
        <w:rPr>
          <w:rStyle w:val="8"/>
          <w:b w:val="0"/>
          <w:bCs w:val="0"/>
        </w:rPr>
      </w:pPr>
      <w:r>
        <w:rPr>
          <w:rStyle w:val="8"/>
          <w:rFonts w:hint="eastAsia"/>
          <w:b w:val="0"/>
          <w:bCs w:val="0"/>
        </w:rPr>
        <w:t>服务需求书</w:t>
      </w:r>
    </w:p>
    <w:p w14:paraId="630F0CDC">
      <w:pPr>
        <w:spacing w:after="60" w:line="360" w:lineRule="auto"/>
        <w:ind w:right="-63" w:rightChars="-30" w:firstLine="426"/>
        <w:rPr>
          <w:rFonts w:hint="eastAsia" w:ascii="宋体" w:hAnsi="宋体"/>
          <w:b/>
          <w:color w:val="FF0000"/>
        </w:rPr>
      </w:pPr>
      <w:r>
        <w:rPr>
          <w:rFonts w:hint="eastAsia" w:ascii="宋体" w:hAnsi="宋体"/>
          <w:b/>
          <w:color w:val="FF0000"/>
        </w:rPr>
        <w:t>1. 带“★”项为不可负偏离项，有一项负偏离即导致投标无效。是否响应第六章服务需求书，以《服务条款偏离表》“投标文件响应”栏填写为准。</w:t>
      </w:r>
    </w:p>
    <w:p w14:paraId="3A67ED54">
      <w:pPr>
        <w:spacing w:after="60" w:line="360" w:lineRule="auto"/>
        <w:ind w:right="-63" w:rightChars="-30" w:firstLine="426"/>
        <w:rPr>
          <w:rFonts w:hint="eastAsia" w:ascii="宋体" w:hAnsi="宋体"/>
          <w:b/>
          <w:color w:val="FF0000"/>
        </w:rPr>
      </w:pPr>
      <w:r>
        <w:rPr>
          <w:rFonts w:hint="eastAsia" w:ascii="宋体" w:hAnsi="宋体"/>
          <w:b/>
          <w:color w:val="FF0000"/>
        </w:rPr>
        <w:t>2.如投标人中标后被发现不能满足本章带★号条款要求的，采购单位有权拒绝签订合同，一切后果由投标人承担。</w:t>
      </w:r>
    </w:p>
    <w:p w14:paraId="0E86A0B8">
      <w:pPr>
        <w:pStyle w:val="2"/>
      </w:pPr>
    </w:p>
    <w:p w14:paraId="1287F2B2">
      <w:pPr>
        <w:spacing w:after="60" w:line="360" w:lineRule="auto"/>
        <w:jc w:val="left"/>
        <w:rPr>
          <w:rFonts w:hint="eastAsia" w:asciiTheme="minorEastAsia" w:hAnsiTheme="minorEastAsia" w:eastAsiaTheme="minorEastAsia"/>
          <w:szCs w:val="21"/>
        </w:rPr>
      </w:pPr>
      <w:r>
        <w:rPr>
          <w:rFonts w:hint="eastAsia" w:asciiTheme="minorEastAsia" w:hAnsiTheme="minorEastAsia" w:eastAsiaTheme="minorEastAsia"/>
          <w:b/>
          <w:szCs w:val="21"/>
        </w:rPr>
        <w:t>（一）</w:t>
      </w:r>
      <w:r>
        <w:rPr>
          <w:rFonts w:hint="eastAsia" w:asciiTheme="minorEastAsia" w:hAnsiTheme="minorEastAsia" w:eastAsiaTheme="minorEastAsia"/>
          <w:b/>
          <w:bCs/>
          <w:szCs w:val="21"/>
        </w:rPr>
        <w:t>采购项目概况</w:t>
      </w:r>
      <w:r>
        <w:rPr>
          <w:rFonts w:hint="eastAsia" w:asciiTheme="minorEastAsia" w:hAnsiTheme="minorEastAsia" w:eastAsiaTheme="minorEastAsia"/>
          <w:szCs w:val="21"/>
        </w:rPr>
        <w:t>：</w:t>
      </w:r>
    </w:p>
    <w:p w14:paraId="46237B67">
      <w:pPr>
        <w:numPr>
          <w:ilvl w:val="0"/>
          <w:numId w:val="1"/>
        </w:numPr>
        <w:spacing w:afterLines="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项目名称；机柜租赁服务项目</w:t>
      </w:r>
    </w:p>
    <w:p w14:paraId="7B72FBDC">
      <w:pPr>
        <w:numPr>
          <w:ilvl w:val="0"/>
          <w:numId w:val="1"/>
        </w:numPr>
        <w:spacing w:afterLines="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最高限额；</w:t>
      </w:r>
      <w:r>
        <w:rPr>
          <w:rFonts w:asciiTheme="minorEastAsia" w:hAnsiTheme="minorEastAsia" w:eastAsiaTheme="minorEastAsia"/>
          <w:szCs w:val="21"/>
        </w:rPr>
        <w:t>960</w:t>
      </w:r>
      <w:r>
        <w:rPr>
          <w:rFonts w:hint="eastAsia" w:asciiTheme="minorEastAsia" w:hAnsiTheme="minorEastAsia" w:eastAsiaTheme="minorEastAsia"/>
          <w:szCs w:val="21"/>
        </w:rPr>
        <w:t>,</w:t>
      </w:r>
      <w:r>
        <w:rPr>
          <w:rFonts w:asciiTheme="minorEastAsia" w:hAnsiTheme="minorEastAsia" w:eastAsiaTheme="minorEastAsia"/>
          <w:szCs w:val="21"/>
        </w:rPr>
        <w:t>000</w:t>
      </w:r>
      <w:r>
        <w:rPr>
          <w:rFonts w:hint="eastAsia" w:asciiTheme="minorEastAsia" w:hAnsiTheme="minorEastAsia" w:eastAsiaTheme="minorEastAsia"/>
          <w:szCs w:val="21"/>
        </w:rPr>
        <w:t>.00元</w:t>
      </w:r>
    </w:p>
    <w:p w14:paraId="3D9C6CA5">
      <w:pPr>
        <w:spacing w:after="60" w:line="360" w:lineRule="auto"/>
        <w:jc w:val="left"/>
        <w:rPr>
          <w:rFonts w:hint="eastAsia" w:asciiTheme="minorEastAsia" w:hAnsiTheme="minorEastAsia" w:eastAsiaTheme="minorEastAsia"/>
          <w:szCs w:val="21"/>
        </w:rPr>
      </w:pPr>
      <w:r>
        <w:rPr>
          <w:rFonts w:hint="eastAsia" w:asciiTheme="minorEastAsia" w:hAnsiTheme="minorEastAsia" w:eastAsiaTheme="minorEastAsia"/>
          <w:b/>
          <w:bCs/>
          <w:szCs w:val="21"/>
        </w:rPr>
        <w:t>（二）项目管理和服务要求</w:t>
      </w:r>
      <w:r>
        <w:rPr>
          <w:rFonts w:hint="eastAsia" w:asciiTheme="minorEastAsia" w:hAnsiTheme="minorEastAsia" w:eastAsiaTheme="minorEastAsia"/>
          <w:szCs w:val="21"/>
        </w:rPr>
        <w:t>：</w:t>
      </w:r>
    </w:p>
    <w:p w14:paraId="69A2DE3A">
      <w:pPr>
        <w:numPr>
          <w:ilvl w:val="0"/>
          <w:numId w:val="2"/>
        </w:numPr>
        <w:spacing w:afterLines="0" w:line="360" w:lineRule="auto"/>
        <w:ind w:firstLine="422" w:firstLineChars="200"/>
        <w:jc w:val="left"/>
        <w:rPr>
          <w:rFonts w:hint="eastAsia" w:asciiTheme="minorEastAsia" w:hAnsiTheme="minorEastAsia" w:eastAsiaTheme="minorEastAsia"/>
          <w:szCs w:val="21"/>
        </w:rPr>
      </w:pPr>
      <w:r>
        <w:rPr>
          <w:rFonts w:hint="eastAsia" w:asciiTheme="minorEastAsia" w:hAnsiTheme="minorEastAsia" w:eastAsiaTheme="minorEastAsia"/>
          <w:b/>
          <w:szCs w:val="21"/>
        </w:rPr>
        <w:t>项目简介（项目背景/服务范围）；</w:t>
      </w:r>
    </w:p>
    <w:p w14:paraId="14C9FCC4">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深圳市宝安区信息中心负责宝安区政府数据中心的管理，近年，随着新兴技术的发展以及宝安区智慧城市等项目的开展，我区党政机关对信息化基础资源的需求越来越大，因我区档案大厦机房未按期交付我局，目前宝安区政府自有数据中心空间已经满负荷运行，需要购买IDC机房服务来满足宝安区政府对数据中心的迫切需求。本项目购买IDC机房机柜租用服务，具体为服务期内根据采购方需求提供机柜(单机柜标配用电20A)，用于存放信息技术设备等信息化基础资源，并提供光缆接入、机柜巡检等运维服务。</w:t>
      </w:r>
    </w:p>
    <w:p w14:paraId="6908E1DE">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 xml:space="preserve">本项目主要服务内容为提供IDC机房机柜租用服务，1个机柜使用1个月称为1个机柜月，服务期为1年，服务期内根据采购方需求提供不少于191个机柜月的空间，并提供光缆接入、机柜巡检等运维服务。 </w:t>
      </w:r>
    </w:p>
    <w:p w14:paraId="285DADCD">
      <w:pPr>
        <w:numPr>
          <w:ilvl w:val="0"/>
          <w:numId w:val="2"/>
        </w:numPr>
        <w:spacing w:afterLines="0" w:line="360" w:lineRule="auto"/>
        <w:ind w:firstLine="422" w:firstLineChars="200"/>
        <w:jc w:val="left"/>
        <w:rPr>
          <w:rFonts w:hint="eastAsia" w:asciiTheme="minorEastAsia" w:hAnsiTheme="minorEastAsia" w:eastAsiaTheme="minorEastAsia"/>
          <w:szCs w:val="21"/>
        </w:rPr>
      </w:pPr>
      <w:r>
        <w:rPr>
          <w:rFonts w:hint="eastAsia" w:asciiTheme="minorEastAsia" w:hAnsiTheme="minorEastAsia" w:eastAsiaTheme="minorEastAsia"/>
          <w:b/>
          <w:szCs w:val="21"/>
        </w:rPr>
        <w:t>服务期限；</w:t>
      </w:r>
      <w:r>
        <w:rPr>
          <w:rFonts w:hint="eastAsia" w:asciiTheme="minorEastAsia" w:hAnsiTheme="minorEastAsia" w:eastAsiaTheme="minorEastAsia"/>
          <w:szCs w:val="21"/>
        </w:rPr>
        <w:t>本次采购服务期限为1年。本项目为长期服务项目，完成第一次合同服务期后，可根据履约情况续签合同，合同一年一签，最长续签不得超过三十六个月。</w:t>
      </w:r>
    </w:p>
    <w:p w14:paraId="132BCDD1">
      <w:pPr>
        <w:numPr>
          <w:ilvl w:val="0"/>
          <w:numId w:val="2"/>
        </w:numPr>
        <w:spacing w:afterLines="0" w:line="360" w:lineRule="auto"/>
        <w:ind w:firstLine="422" w:firstLineChars="200"/>
        <w:jc w:val="left"/>
        <w:rPr>
          <w:rStyle w:val="9"/>
          <w:rFonts w:hint="eastAsia" w:asciiTheme="minorEastAsia" w:hAnsiTheme="minorEastAsia" w:eastAsiaTheme="minorEastAsia"/>
          <w:b/>
          <w:bCs/>
          <w:szCs w:val="21"/>
        </w:rPr>
      </w:pPr>
      <w:r>
        <w:rPr>
          <w:rFonts w:hint="eastAsia" w:asciiTheme="minorEastAsia" w:hAnsiTheme="minorEastAsia" w:eastAsiaTheme="minorEastAsia"/>
          <w:b/>
          <w:szCs w:val="21"/>
        </w:rPr>
        <w:t>服务内容、技术标准、工作质量要求；</w:t>
      </w:r>
    </w:p>
    <w:p w14:paraId="204F5FA2">
      <w:pPr>
        <w:tabs>
          <w:tab w:val="left" w:pos="312"/>
        </w:tabs>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（1）机房整体要求：可提供机柜不少于24个。机房场地产权需有自主产权或自有土地使用权或与产权单位签署有超过</w:t>
      </w:r>
      <w:r>
        <w:rPr>
          <w:rFonts w:asciiTheme="minorEastAsia" w:hAnsiTheme="minorEastAsia" w:eastAsiaTheme="minorEastAsia"/>
          <w:szCs w:val="21"/>
        </w:rPr>
        <w:t>5</w:t>
      </w:r>
      <w:r>
        <w:rPr>
          <w:rFonts w:hint="eastAsia" w:asciiTheme="minorEastAsia" w:hAnsiTheme="minorEastAsia" w:eastAsiaTheme="minorEastAsia"/>
          <w:szCs w:val="21"/>
        </w:rPr>
        <w:t>年（含）（合同签订时间需在2022年3月（含）之后）使用权的房屋租赁合同等。中标后提供证明材料。本次招标人需求的机柜与投标人机房内其他用户通过围墙、围笼等形式做到物理隔离，中标后提供租赁区域机柜布局方案及图纸。</w:t>
      </w:r>
    </w:p>
    <w:p w14:paraId="2AAC4272">
      <w:pPr>
        <w:pStyle w:val="10"/>
        <w:adjustRightInd w:val="0"/>
        <w:snapToGrid w:val="0"/>
        <w:spacing w:after="60" w:line="360" w:lineRule="auto"/>
        <w:ind w:firstLine="560" w:firstLineChars="0"/>
        <w:jc w:val="left"/>
        <w:rPr>
          <w:rFonts w:hint="eastAsia" w:asciiTheme="minorEastAsia" w:hAnsiTheme="minorEastAsia" w:eastAsiaTheme="minorEastAsia"/>
          <w:szCs w:val="21"/>
        </w:rPr>
      </w:pPr>
      <w:r>
        <w:rPr>
          <w:rFonts w:hint="eastAsia" w:asciiTheme="minorEastAsia" w:hAnsiTheme="minorEastAsia" w:eastAsiaTheme="minorEastAsia"/>
          <w:szCs w:val="21"/>
        </w:rPr>
        <w:t>（2）机柜规格要求：机柜由乙方提供，要求乙方应标机柜必须是可围合区域内的，可实施物理隔离。标准机柜和网络机柜高度不低于42U，每台机柜均须接地。标准柜的单机柜电流20A。PDU由乙方提供，要求所有机柜内须配置AB两路PDU，由不同UPS系统供电。PDU满足后续上架服务器等设备的要求，安装在机柜的后方。乙方须根据机柜租赁的需求提供应标区域内机柜摆放设计图，图中有详细的列数和每列的机柜数，机柜布局设计应合理、实用且满足招标要求。</w:t>
      </w:r>
    </w:p>
    <w:p w14:paraId="36AD12BF">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配电系统：市电输入满足两个及以上不同变电站的双路市电供电，供电容量与机柜规模匹配，双路市电可满足同时主供、互为备用的供电方式，变压器需按2N模式设计，两台变压器互为备用。乙方机房须有柴油发电机提供备用电力，可提供持续供电，柴油发电机不低于N+1配置，有自启动功能，提供佐证材料，提供柴油发电机设备部署方式（室内部署），现场照片佐证。</w:t>
      </w:r>
    </w:p>
    <w:p w14:paraId="19F0378C">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机房需要上架8台算力服务器，针对每台算力服务器配置4个热插拔电源模块，采用2+2冗余模式（即两组独立供电单元互为冗余），确保单组电源故障时无缝切换，系统持续运行。</w:t>
      </w:r>
    </w:p>
    <w:p w14:paraId="72656171">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（4）消防系统：乙方机房内须使用气体灭火系统，且机房内使用气体消防系统。</w:t>
      </w:r>
    </w:p>
    <w:p w14:paraId="7F16BB83">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（5）弱电系统：提供环境监控系统，环境监控须对机房基础设施7*24小时集中监控系统，须具备多种告警功能，乙方机房应配置7*24小时视频监控系统，满足提供视频监控,提供独立的门禁系统.。</w:t>
      </w:r>
    </w:p>
    <w:p w14:paraId="007E45BD">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（6）隔笼设施要求：根据机柜空间的位置为了将IDC机房机柜与其他区域隔离保障设备安全。具体安装效果参考图示照片效果如下</w:t>
      </w:r>
      <w:r>
        <w:rPr>
          <w:rFonts w:asciiTheme="minorEastAsia" w:hAnsiTheme="minorEastAsia" w:eastAsiaTheme="minorEastAsia"/>
          <w:szCs w:val="21"/>
        </w:rPr>
        <w:t>：</w:t>
      </w:r>
    </w:p>
    <w:p w14:paraId="0013FFDD">
      <w:pPr>
        <w:pStyle w:val="4"/>
        <w:spacing w:after="60" w:line="360" w:lineRule="auto"/>
        <w:rPr>
          <w:rFonts w:hint="eastAsia" w:asciiTheme="minorEastAsia" w:hAnsiTheme="minorEastAsia" w:eastAsiaTheme="minorEastAsia"/>
          <w:szCs w:val="21"/>
        </w:rPr>
      </w:pPr>
      <w:r>
        <w:rPr>
          <w:rFonts w:asciiTheme="minorEastAsia" w:hAnsiTheme="minorEastAsia" w:eastAsiaTheme="minorEastAsia"/>
          <w:szCs w:val="21"/>
        </w:rPr>
        <w:drawing>
          <wp:inline distT="0" distB="0" distL="0" distR="0">
            <wp:extent cx="4519930" cy="2501900"/>
            <wp:effectExtent l="0" t="0" r="13970" b="12700"/>
            <wp:docPr id="1895686400" name="图片 1895686400" descr="162901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86400" name="图片 1895686400" descr="162901286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19930" cy="2501900"/>
                    </a:xfrm>
                    <a:prstGeom prst="rect">
                      <a:avLst/>
                    </a:prstGeom>
                    <a:noFill/>
                    <a:ln>
                      <a:noFill/>
                    </a:ln>
                  </pic:spPr>
                </pic:pic>
              </a:graphicData>
            </a:graphic>
          </wp:inline>
        </w:drawing>
      </w:r>
    </w:p>
    <w:p w14:paraId="556F6F63">
      <w:pPr>
        <w:pStyle w:val="4"/>
        <w:spacing w:after="60" w:line="360" w:lineRule="auto"/>
        <w:rPr>
          <w:rFonts w:hint="eastAsia" w:asciiTheme="minorEastAsia" w:hAnsiTheme="minorEastAsia" w:eastAsiaTheme="minorEastAsia"/>
          <w:szCs w:val="21"/>
        </w:rPr>
      </w:pPr>
    </w:p>
    <w:p w14:paraId="76E7590F">
      <w:pPr>
        <w:tabs>
          <w:tab w:val="left" w:pos="2070"/>
        </w:tabs>
        <w:snapToGrid w:val="0"/>
        <w:spacing w:after="60" w:line="360" w:lineRule="auto"/>
        <w:ind w:firstLine="495" w:firstLineChars="236"/>
        <w:rPr>
          <w:rFonts w:hint="eastAsia" w:asciiTheme="minorEastAsia" w:hAnsiTheme="minorEastAsia" w:eastAsiaTheme="minorEastAsia"/>
          <w:szCs w:val="21"/>
        </w:rPr>
      </w:pPr>
      <w:r>
        <w:rPr>
          <w:rFonts w:hint="eastAsia" w:asciiTheme="minorEastAsia" w:hAnsiTheme="minorEastAsia" w:eastAsiaTheme="minorEastAsia"/>
          <w:szCs w:val="21"/>
        </w:rPr>
        <w:t xml:space="preserve">                             隔断参考效果图片</w:t>
      </w:r>
    </w:p>
    <w:p w14:paraId="1158A3EC">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（7）机房互联光纤要求：投标人需提供从招标人在宝安区政府大楼机房到投标人用于本项目机房之间的双路由端到端</w:t>
      </w:r>
      <w:r>
        <w:rPr>
          <w:rFonts w:asciiTheme="minorEastAsia" w:hAnsiTheme="minorEastAsia" w:eastAsiaTheme="minorEastAsia"/>
          <w:szCs w:val="21"/>
        </w:rPr>
        <w:t>24</w:t>
      </w:r>
      <w:r>
        <w:rPr>
          <w:rFonts w:hint="eastAsia" w:asciiTheme="minorEastAsia" w:hAnsiTheme="minorEastAsia" w:eastAsiaTheme="minorEastAsia"/>
          <w:szCs w:val="21"/>
        </w:rPr>
        <w:t>芯光纤，并协助完成光纤接入工作。</w:t>
      </w:r>
    </w:p>
    <w:p w14:paraId="65034CC4">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（8）租赁机房运维服务要求</w:t>
      </w:r>
    </w:p>
    <w:p w14:paraId="6D4676F9">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 xml:space="preserve"> 服务接口与沟通机制：为保障机房运维工作的顺利开展，提高服务质量，乙方需要针对甲方提供如下服务接口。</w:t>
      </w:r>
    </w:p>
    <w:p w14:paraId="17B1D39D">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1）7*24值班服务,提供专属服务电话，服务内容包括：</w:t>
      </w:r>
    </w:p>
    <w:p w14:paraId="2F4336DB">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①通报、响应和跟踪数据机房各级事件；</w:t>
      </w:r>
    </w:p>
    <w:p w14:paraId="3BD40884">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②协助完成各项运维保障任务；</w:t>
      </w:r>
    </w:p>
    <w:p w14:paraId="78163865">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2）服务经理,运维服务的总接口人，对甲方进行全程跟踪服务，包括：</w:t>
      </w:r>
    </w:p>
    <w:p w14:paraId="474A152B">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①数据中心服务项目和业务项目的咨询；</w:t>
      </w:r>
    </w:p>
    <w:p w14:paraId="6009730B">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②工作受理及工作情况汇报；</w:t>
      </w:r>
    </w:p>
    <w:p w14:paraId="041902B5">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③服务内容变更处理；</w:t>
      </w:r>
    </w:p>
    <w:p w14:paraId="236FD04F">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④事务升级，投诉受理及处理情况汇报；</w:t>
      </w:r>
    </w:p>
    <w:p w14:paraId="5E7E4D54">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⑤每月提供服务报告；</w:t>
      </w:r>
    </w:p>
    <w:p w14:paraId="30C55A2B">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⑥数据中心维护升级、变更、演练等服务提前书面告知等；</w:t>
      </w:r>
    </w:p>
    <w:p w14:paraId="4FBF20A2">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3）日常运维接口人</w:t>
      </w:r>
    </w:p>
    <w:p w14:paraId="55743BD7">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负责与甲方工程师在日常运维工作的接口，落实包括人员/物资进出、现场操作、运维工具配备等工作；</w:t>
      </w:r>
    </w:p>
    <w:p w14:paraId="7995E1A3">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4）双方运维应急联络表</w:t>
      </w:r>
    </w:p>
    <w:p w14:paraId="6D735D7C">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（9）重大活动特殊保障需求</w:t>
      </w:r>
    </w:p>
    <w:p w14:paraId="4DA0C8D5">
      <w:pPr>
        <w:tabs>
          <w:tab w:val="left" w:pos="2070"/>
        </w:tabs>
        <w:snapToGrid w:val="0"/>
        <w:spacing w:after="60" w:line="360" w:lineRule="auto"/>
        <w:ind w:firstLine="495" w:firstLineChars="236"/>
        <w:rPr>
          <w:rFonts w:hint="eastAsia" w:asciiTheme="minorEastAsia" w:hAnsiTheme="minorEastAsia" w:eastAsiaTheme="minorEastAsia"/>
          <w:szCs w:val="21"/>
        </w:rPr>
      </w:pPr>
      <w:r>
        <w:rPr>
          <w:rFonts w:hint="eastAsia" w:asciiTheme="minorEastAsia" w:hAnsiTheme="minorEastAsia" w:eastAsiaTheme="minorEastAsia"/>
          <w:szCs w:val="21"/>
        </w:rPr>
        <w:t>如两会等重大活动，需要机房特殊保障的，乙方应成立保障项目组，并提供以下服务支持：</w:t>
      </w:r>
    </w:p>
    <w:p w14:paraId="691F12D1">
      <w:pPr>
        <w:spacing w:after="6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1）提供详细重要保障方案，包括人员组织、应急准备情况、基础设施负载情况等内容；</w:t>
      </w:r>
    </w:p>
    <w:p w14:paraId="2B0E5F21">
      <w:pPr>
        <w:spacing w:after="6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2）活动前按要求完成基础设施的巡检、演练，并在活动前完成问题的整改；</w:t>
      </w:r>
    </w:p>
    <w:p w14:paraId="15FBB7FC">
      <w:pPr>
        <w:spacing w:after="6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3）活动期间须在动力、制冷、专线/传输、网络等业务系统，安排 7*24 小时专人保障。</w:t>
      </w:r>
    </w:p>
    <w:p w14:paraId="0BFC7256">
      <w:pPr>
        <w:spacing w:after="6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（10）基础设施日常维护和维保</w:t>
      </w:r>
    </w:p>
    <w:p w14:paraId="3DD68550">
      <w:pPr>
        <w:pStyle w:val="2"/>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对数据中心基础设施环境进行日常运维，保证数据中心的正常及安全运行基础设施环境保障，提供满足</w:t>
      </w:r>
      <w:r>
        <w:rPr>
          <w:rFonts w:asciiTheme="minorEastAsia" w:hAnsiTheme="minorEastAsia" w:eastAsiaTheme="minorEastAsia"/>
          <w:szCs w:val="21"/>
        </w:rPr>
        <w:t>7*24小时运行要求的数据中心场地环境。定期对数据中心基础设施进行巡检，包括：供电系统、空调系统、</w:t>
      </w:r>
      <w:r>
        <w:rPr>
          <w:rFonts w:hint="eastAsia" w:asciiTheme="minorEastAsia" w:hAnsiTheme="minorEastAsia" w:eastAsiaTheme="minorEastAsia"/>
          <w:szCs w:val="21"/>
        </w:rPr>
        <w:t>消防系统、安防系统等。</w:t>
      </w:r>
    </w:p>
    <w:p w14:paraId="1B78AC18">
      <w:pPr>
        <w:numPr>
          <w:ilvl w:val="0"/>
          <w:numId w:val="2"/>
        </w:numPr>
        <w:spacing w:afterLines="0" w:line="360" w:lineRule="auto"/>
        <w:ind w:firstLine="422"/>
        <w:jc w:val="left"/>
        <w:rPr>
          <w:rFonts w:hint="eastAsia" w:ascii="宋体" w:hAnsi="宋体" w:cs="宋体"/>
        </w:rPr>
      </w:pPr>
      <w:bookmarkStart w:id="0" w:name="_Hlk194510575"/>
      <w:r>
        <w:rPr>
          <w:rFonts w:hint="eastAsia" w:asciiTheme="minorEastAsia" w:hAnsiTheme="minorEastAsia" w:eastAsiaTheme="minorEastAsia"/>
          <w:b/>
          <w:szCs w:val="21"/>
        </w:rPr>
        <w:t>人员要求（岗位要求、数量）；</w:t>
      </w:r>
      <w:r>
        <w:rPr>
          <w:rFonts w:hint="eastAsia" w:ascii="宋体" w:hAnsi="宋体" w:cs="宋体"/>
        </w:rPr>
        <w:t>服务团队成员不少于8人，其中</w:t>
      </w:r>
      <w:r>
        <w:rPr>
          <w:rFonts w:ascii="宋体" w:hAnsi="宋体" w:cs="宋体"/>
        </w:rPr>
        <w:t>项目负责人（1名）</w:t>
      </w:r>
      <w:r>
        <w:rPr>
          <w:rFonts w:hint="eastAsia" w:ascii="宋体" w:hAnsi="宋体" w:cs="宋体"/>
        </w:rPr>
        <w:t>、项目主管</w:t>
      </w:r>
      <w:r>
        <w:rPr>
          <w:rFonts w:ascii="宋体" w:hAnsi="宋体" w:cs="宋体"/>
        </w:rPr>
        <w:t>（1名）</w:t>
      </w:r>
      <w:r>
        <w:rPr>
          <w:rFonts w:hint="eastAsia" w:ascii="宋体" w:hAnsi="宋体" w:cs="宋体"/>
        </w:rPr>
        <w:t>、</w:t>
      </w:r>
      <w:r>
        <w:rPr>
          <w:rFonts w:ascii="宋体" w:hAnsi="宋体" w:cs="宋体"/>
        </w:rPr>
        <w:t>技术主管（1名）</w:t>
      </w:r>
      <w:r>
        <w:rPr>
          <w:rFonts w:hint="eastAsia" w:ascii="宋体" w:hAnsi="宋体" w:cs="宋体"/>
        </w:rPr>
        <w:t>、现场主管（</w:t>
      </w:r>
      <w:r>
        <w:rPr>
          <w:rFonts w:ascii="宋体" w:hAnsi="宋体" w:cs="宋体"/>
        </w:rPr>
        <w:t>1名）</w:t>
      </w:r>
      <w:r>
        <w:rPr>
          <w:rFonts w:hint="eastAsia" w:ascii="宋体" w:hAnsi="宋体" w:cs="宋体"/>
        </w:rPr>
        <w:t>、</w:t>
      </w:r>
      <w:r>
        <w:rPr>
          <w:rFonts w:ascii="宋体" w:hAnsi="宋体" w:cs="宋体"/>
        </w:rPr>
        <w:t>信息安全主管（1名）</w:t>
      </w:r>
      <w:r>
        <w:rPr>
          <w:rFonts w:hint="eastAsia" w:ascii="宋体" w:hAnsi="宋体" w:cs="宋体"/>
        </w:rPr>
        <w:t>、</w:t>
      </w:r>
      <w:r>
        <w:rPr>
          <w:rFonts w:ascii="宋体" w:hAnsi="宋体" w:cs="宋体"/>
        </w:rPr>
        <w:t>机房维护团队负责人（1名）</w:t>
      </w:r>
      <w:r>
        <w:rPr>
          <w:rFonts w:hint="eastAsia" w:ascii="宋体" w:hAnsi="宋体" w:cs="宋体"/>
        </w:rPr>
        <w:t>、</w:t>
      </w:r>
      <w:r>
        <w:rPr>
          <w:rFonts w:ascii="宋体" w:hAnsi="宋体" w:cs="宋体"/>
        </w:rPr>
        <w:t>运维工程师（1人）</w:t>
      </w:r>
      <w:r>
        <w:rPr>
          <w:rFonts w:hint="eastAsia" w:ascii="宋体" w:hAnsi="宋体" w:cs="宋体"/>
        </w:rPr>
        <w:t>、</w:t>
      </w:r>
      <w:r>
        <w:rPr>
          <w:rFonts w:ascii="宋体" w:hAnsi="宋体" w:cs="宋体"/>
        </w:rPr>
        <w:t>安全工程师（1人）</w:t>
      </w:r>
      <w:r>
        <w:rPr>
          <w:rFonts w:hint="eastAsia" w:ascii="宋体" w:hAnsi="宋体" w:cs="宋体"/>
        </w:rPr>
        <w:t>。</w:t>
      </w:r>
    </w:p>
    <w:bookmarkEnd w:id="0"/>
    <w:p w14:paraId="0BF4312D">
      <w:pPr>
        <w:numPr>
          <w:ilvl w:val="0"/>
          <w:numId w:val="2"/>
        </w:numPr>
        <w:spacing w:afterLines="0" w:line="360" w:lineRule="auto"/>
        <w:ind w:firstLine="422" w:firstLineChars="200"/>
        <w:jc w:val="left"/>
        <w:rPr>
          <w:rFonts w:hint="eastAsia" w:asciiTheme="minorEastAsia" w:hAnsiTheme="minorEastAsia" w:eastAsiaTheme="minorEastAsia"/>
          <w:b/>
          <w:szCs w:val="21"/>
        </w:rPr>
      </w:pPr>
      <w:r>
        <w:rPr>
          <w:rFonts w:hint="eastAsia" w:asciiTheme="minorEastAsia" w:hAnsiTheme="minorEastAsia" w:eastAsiaTheme="minorEastAsia"/>
          <w:b/>
          <w:szCs w:val="21"/>
        </w:rPr>
        <w:t>服务成果要求；</w:t>
      </w:r>
    </w:p>
    <w:p w14:paraId="29C7E74D">
      <w:pPr>
        <w:spacing w:after="60" w:line="360" w:lineRule="auto"/>
        <w:ind w:firstLine="424" w:firstLineChars="202"/>
        <w:jc w:val="left"/>
        <w:rPr>
          <w:rFonts w:hint="eastAsia" w:ascii="宋体" w:hAnsi="宋体"/>
          <w:bCs/>
          <w:szCs w:val="21"/>
        </w:rPr>
      </w:pPr>
      <w:r>
        <w:rPr>
          <w:rFonts w:hint="eastAsia" w:ascii="宋体" w:hAnsi="宋体"/>
          <w:bCs/>
          <w:szCs w:val="21"/>
        </w:rPr>
        <w:t>（1）每月对</w:t>
      </w:r>
      <w:r>
        <w:rPr>
          <w:rFonts w:ascii="宋体" w:hAnsi="宋体"/>
          <w:bCs/>
          <w:szCs w:val="21"/>
        </w:rPr>
        <w:t>双路由</w:t>
      </w:r>
      <w:r>
        <w:rPr>
          <w:rFonts w:hint="eastAsia" w:ascii="宋体" w:hAnsi="宋体"/>
          <w:bCs/>
          <w:szCs w:val="21"/>
        </w:rPr>
        <w:t>互联光纤进行巡检维护，形成</w:t>
      </w:r>
      <w:r>
        <w:rPr>
          <w:rFonts w:ascii="宋体" w:hAnsi="宋体"/>
          <w:bCs/>
          <w:szCs w:val="21"/>
        </w:rPr>
        <w:t>报告</w:t>
      </w:r>
      <w:r>
        <w:rPr>
          <w:rFonts w:hint="eastAsia" w:ascii="宋体" w:hAnsi="宋体"/>
          <w:bCs/>
          <w:szCs w:val="21"/>
        </w:rPr>
        <w:t>。</w:t>
      </w:r>
    </w:p>
    <w:p w14:paraId="0C9580A7">
      <w:pPr>
        <w:spacing w:after="60" w:line="360" w:lineRule="auto"/>
        <w:ind w:firstLine="424" w:firstLineChars="202"/>
        <w:jc w:val="left"/>
        <w:rPr>
          <w:rFonts w:hint="eastAsia" w:ascii="宋体" w:hAnsi="宋体"/>
          <w:bCs/>
          <w:szCs w:val="21"/>
        </w:rPr>
      </w:pPr>
      <w:r>
        <w:rPr>
          <w:rFonts w:hint="eastAsia" w:ascii="宋体" w:hAnsi="宋体"/>
          <w:bCs/>
          <w:szCs w:val="21"/>
        </w:rPr>
        <w:t>（2）每月对</w:t>
      </w:r>
      <w:r>
        <w:rPr>
          <w:rFonts w:ascii="宋体" w:hAnsi="宋体"/>
          <w:bCs/>
          <w:szCs w:val="21"/>
        </w:rPr>
        <w:t>所租用</w:t>
      </w:r>
      <w:r>
        <w:rPr>
          <w:rFonts w:hint="eastAsia" w:ascii="宋体" w:hAnsi="宋体"/>
          <w:bCs/>
          <w:szCs w:val="21"/>
        </w:rPr>
        <w:t>机柜使用情况进行统计汇总，形成</w:t>
      </w:r>
      <w:r>
        <w:rPr>
          <w:rFonts w:ascii="宋体" w:hAnsi="宋体"/>
          <w:bCs/>
          <w:szCs w:val="21"/>
        </w:rPr>
        <w:t>报告</w:t>
      </w:r>
      <w:r>
        <w:rPr>
          <w:rFonts w:hint="eastAsia" w:ascii="宋体" w:hAnsi="宋体"/>
          <w:bCs/>
          <w:szCs w:val="21"/>
        </w:rPr>
        <w:t>。</w:t>
      </w:r>
    </w:p>
    <w:p w14:paraId="49114B26">
      <w:pPr>
        <w:spacing w:after="60" w:line="360" w:lineRule="auto"/>
        <w:ind w:firstLine="424" w:firstLineChars="202"/>
        <w:jc w:val="left"/>
        <w:rPr>
          <w:rFonts w:hint="eastAsia" w:ascii="宋体" w:hAnsi="宋体"/>
          <w:bCs/>
          <w:szCs w:val="21"/>
        </w:rPr>
      </w:pPr>
      <w:r>
        <w:rPr>
          <w:rFonts w:hint="eastAsia" w:ascii="宋体" w:hAnsi="宋体"/>
          <w:bCs/>
          <w:szCs w:val="21"/>
        </w:rPr>
        <w:t>（3）每月</w:t>
      </w:r>
      <w:r>
        <w:rPr>
          <w:rFonts w:ascii="宋体" w:hAnsi="宋体"/>
          <w:bCs/>
          <w:szCs w:val="21"/>
        </w:rPr>
        <w:t>对所租用机柜及物理空间保洁一次，形成报告</w:t>
      </w:r>
      <w:r>
        <w:rPr>
          <w:rFonts w:hint="eastAsia" w:ascii="宋体" w:hAnsi="宋体"/>
          <w:bCs/>
          <w:szCs w:val="21"/>
        </w:rPr>
        <w:t>。</w:t>
      </w:r>
    </w:p>
    <w:p w14:paraId="488F11AF">
      <w:pPr>
        <w:spacing w:after="60" w:line="360" w:lineRule="auto"/>
        <w:ind w:firstLine="424" w:firstLineChars="202"/>
        <w:jc w:val="left"/>
        <w:rPr>
          <w:rFonts w:hint="eastAsia" w:ascii="宋体" w:hAnsi="宋体"/>
          <w:bCs/>
          <w:szCs w:val="21"/>
        </w:rPr>
      </w:pPr>
      <w:r>
        <w:rPr>
          <w:rFonts w:hint="eastAsia" w:ascii="宋体" w:hAnsi="宋体"/>
          <w:bCs/>
          <w:szCs w:val="21"/>
        </w:rPr>
        <w:t>（4）每月对</w:t>
      </w:r>
      <w:r>
        <w:rPr>
          <w:rFonts w:ascii="宋体" w:hAnsi="宋体"/>
          <w:bCs/>
          <w:szCs w:val="21"/>
        </w:rPr>
        <w:t>所租用机柜（包括但不限于PDU情况、设备用电情况、环境温湿度情况等）进行运维巡检，形成报告。</w:t>
      </w:r>
    </w:p>
    <w:p w14:paraId="5ABF1067">
      <w:pPr>
        <w:numPr>
          <w:ilvl w:val="0"/>
          <w:numId w:val="2"/>
        </w:numPr>
        <w:spacing w:afterLines="0" w:line="360" w:lineRule="auto"/>
        <w:ind w:firstLine="422" w:firstLineChars="200"/>
        <w:jc w:val="left"/>
        <w:rPr>
          <w:rFonts w:hint="eastAsia" w:ascii="宋体" w:hAnsi="宋体"/>
          <w:bCs/>
          <w:szCs w:val="21"/>
        </w:rPr>
      </w:pPr>
      <w:r>
        <w:rPr>
          <w:rFonts w:hint="eastAsia" w:asciiTheme="minorEastAsia" w:hAnsiTheme="minorEastAsia" w:eastAsiaTheme="minorEastAsia"/>
          <w:b/>
          <w:szCs w:val="21"/>
        </w:rPr>
        <w:t>验收方式；</w:t>
      </w:r>
      <w:r>
        <w:rPr>
          <w:rFonts w:hint="eastAsia" w:ascii="宋体" w:hAnsi="宋体"/>
          <w:bCs/>
          <w:szCs w:val="21"/>
        </w:rPr>
        <w:t>乙方完成合同约定的工作内容并提交相关记录、报告等成果文件，甲方对成果文件进行确认，验收结果以甲方书面验收意见为准。</w:t>
      </w:r>
    </w:p>
    <w:p w14:paraId="4CE2E7A1">
      <w:pPr>
        <w:numPr>
          <w:ilvl w:val="0"/>
          <w:numId w:val="2"/>
        </w:numPr>
        <w:spacing w:afterLines="0" w:line="360" w:lineRule="auto"/>
        <w:ind w:firstLine="422" w:firstLineChars="200"/>
        <w:jc w:val="left"/>
        <w:rPr>
          <w:rFonts w:hint="eastAsia" w:ascii="宋体" w:hAnsi="宋体"/>
          <w:szCs w:val="21"/>
        </w:rPr>
      </w:pPr>
      <w:r>
        <w:rPr>
          <w:rFonts w:hint="eastAsia" w:asciiTheme="minorEastAsia" w:hAnsiTheme="minorEastAsia" w:eastAsiaTheme="minorEastAsia"/>
          <w:b/>
          <w:szCs w:val="21"/>
        </w:rPr>
        <w:t>报价要求；</w:t>
      </w:r>
    </w:p>
    <w:p w14:paraId="46C98486">
      <w:pPr>
        <w:spacing w:after="60" w:line="360" w:lineRule="auto"/>
        <w:ind w:firstLine="420" w:firstLineChars="200"/>
        <w:rPr>
          <w:rFonts w:hint="eastAsia" w:ascii="宋体" w:hAnsi="宋体"/>
          <w:bCs/>
          <w:szCs w:val="21"/>
        </w:rPr>
      </w:pPr>
      <w:r>
        <w:rPr>
          <w:rFonts w:hint="eastAsia" w:ascii="宋体" w:hAnsi="宋体"/>
          <w:bCs/>
          <w:szCs w:val="21"/>
        </w:rPr>
        <w:t>项目报价不得超过预算金额。</w:t>
      </w:r>
    </w:p>
    <w:p w14:paraId="14A1FA0E">
      <w:pPr>
        <w:spacing w:after="60" w:line="360" w:lineRule="auto"/>
        <w:ind w:firstLine="420" w:firstLineChars="200"/>
        <w:rPr>
          <w:rFonts w:hint="eastAsia" w:ascii="宋体" w:hAnsi="宋体"/>
          <w:bCs/>
          <w:szCs w:val="21"/>
        </w:rPr>
      </w:pPr>
      <w:r>
        <w:rPr>
          <w:rFonts w:hint="eastAsia" w:ascii="宋体" w:hAnsi="宋体"/>
          <w:bCs/>
          <w:szCs w:val="21"/>
        </w:rPr>
        <w:t>本项目投标总价以人民币报价，为包干价，是完成该项目的所需费用总和（包括但不限于人工费用、技术培训及国家规定的各项税费等）。</w:t>
      </w:r>
    </w:p>
    <w:p w14:paraId="306AA59D">
      <w:pPr>
        <w:spacing w:after="60" w:line="360" w:lineRule="auto"/>
        <w:ind w:firstLine="420" w:firstLineChars="200"/>
        <w:rPr>
          <w:rFonts w:hint="eastAsia" w:ascii="宋体" w:hAnsi="宋体"/>
          <w:bCs/>
          <w:szCs w:val="21"/>
        </w:rPr>
      </w:pPr>
      <w:r>
        <w:rPr>
          <w:rFonts w:hint="eastAsia" w:ascii="宋体" w:hAnsi="宋体"/>
          <w:bCs/>
          <w:szCs w:val="21"/>
        </w:rPr>
        <w:t>各投标人应充分理解本项目招标需求且充分考虑项目风险性，项目最终合同金额为中标单位投标报价，与本项目相关所有费用均包含在投标报价中。</w:t>
      </w:r>
    </w:p>
    <w:p w14:paraId="65836A37">
      <w:pPr>
        <w:numPr>
          <w:ilvl w:val="0"/>
          <w:numId w:val="2"/>
        </w:numPr>
        <w:spacing w:afterLines="0" w:line="360" w:lineRule="auto"/>
        <w:ind w:firstLine="422" w:firstLineChars="200"/>
        <w:jc w:val="left"/>
        <w:rPr>
          <w:rFonts w:hint="eastAsia" w:asciiTheme="minorEastAsia" w:hAnsiTheme="minorEastAsia" w:eastAsiaTheme="minorEastAsia"/>
          <w:b/>
          <w:szCs w:val="21"/>
        </w:rPr>
      </w:pPr>
      <w:bookmarkStart w:id="1" w:name="_Hlk192865565"/>
      <w:r>
        <w:rPr>
          <w:rFonts w:hint="eastAsia" w:asciiTheme="minorEastAsia" w:hAnsiTheme="minorEastAsia" w:eastAsiaTheme="minorEastAsia"/>
          <w:b/>
          <w:szCs w:val="21"/>
        </w:rPr>
        <w:t>付款方式；</w:t>
      </w:r>
      <w:r>
        <w:rPr>
          <w:rFonts w:asciiTheme="minorEastAsia" w:hAnsiTheme="minorEastAsia" w:eastAsiaTheme="minorEastAsia"/>
          <w:b/>
          <w:szCs w:val="21"/>
        </w:rPr>
        <w:t xml:space="preserve"> </w:t>
      </w:r>
    </w:p>
    <w:bookmarkEnd w:id="1"/>
    <w:p w14:paraId="2BE28BED">
      <w:pPr>
        <w:widowControl/>
        <w:spacing w:after="60" w:line="360" w:lineRule="auto"/>
        <w:ind w:firstLine="420" w:firstLineChars="200"/>
        <w:jc w:val="left"/>
        <w:rPr>
          <w:rFonts w:hint="eastAsia" w:ascii="宋体" w:hAnsi="宋体"/>
          <w:bCs/>
          <w:szCs w:val="21"/>
        </w:rPr>
      </w:pPr>
      <w:r>
        <w:rPr>
          <w:rFonts w:hint="eastAsia" w:ascii="宋体" w:hAnsi="宋体"/>
          <w:bCs/>
          <w:szCs w:val="21"/>
        </w:rPr>
        <w:t>本项目按机柜实际使用数量及月数进行结算，总金额不超过96万。</w:t>
      </w:r>
    </w:p>
    <w:p w14:paraId="0AFD4961">
      <w:pPr>
        <w:widowControl/>
        <w:spacing w:after="60" w:line="360" w:lineRule="auto"/>
        <w:ind w:firstLine="420" w:firstLineChars="200"/>
        <w:jc w:val="left"/>
        <w:rPr>
          <w:rFonts w:hint="eastAsia" w:ascii="宋体" w:hAnsi="宋体"/>
          <w:bCs/>
          <w:szCs w:val="21"/>
        </w:rPr>
      </w:pPr>
      <w:r>
        <w:rPr>
          <w:rFonts w:hint="eastAsia" w:ascii="宋体" w:hAnsi="宋体"/>
          <w:bCs/>
          <w:szCs w:val="21"/>
        </w:rPr>
        <w:t>本项目因客观原因档案大厦算力机房落成后，合同服务需求终止，甲乙双方终止合同，费用按照实际使用天数进行据实结算。</w:t>
      </w:r>
    </w:p>
    <w:p w14:paraId="625617F2">
      <w:pPr>
        <w:spacing w:after="60" w:line="360" w:lineRule="auto"/>
        <w:ind w:firstLine="420" w:firstLineChars="200"/>
        <w:jc w:val="left"/>
      </w:pPr>
      <w:r>
        <w:rPr>
          <w:rFonts w:hint="eastAsia" w:ascii="宋体" w:hAnsi="宋体"/>
          <w:bCs/>
          <w:szCs w:val="21"/>
        </w:rPr>
        <w:t>按合同相关规定付款，相关要求、时限以合同文本的约定和财政部门的规定为准。前述款项均通过财政集中支付程序办理付款手续，拨款到位后支付。因财政支付程序导致付款迟延的，采购人不承担任何责任。</w:t>
      </w:r>
      <w:bookmarkStart w:id="2" w:name="_GoBack"/>
      <w:bookmarkEnd w:id="2"/>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_x000B__x000C_">
    <w:altName w:val="方正公文黑体"/>
    <w:panose1 w:val="00000000000000000000"/>
    <w:charset w:val="00"/>
    <w:family w:val="roman"/>
    <w:pitch w:val="default"/>
    <w:sig w:usb0="00000000" w:usb1="00000000" w:usb2="00000000" w:usb3="00000000" w:csb0="00040001" w:csb1="00000000"/>
  </w:font>
  <w:font w:name="方正公文黑体">
    <w:panose1 w:val="02000500000000000000"/>
    <w:charset w:val="86"/>
    <w:family w:val="auto"/>
    <w:pitch w:val="default"/>
    <w:sig w:usb0="A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FA2C91"/>
    <w:multiLevelType w:val="singleLevel"/>
    <w:tmpl w:val="3DFA2C91"/>
    <w:lvl w:ilvl="0" w:tentative="0">
      <w:start w:val="1"/>
      <w:numFmt w:val="decimal"/>
      <w:lvlText w:val="%1."/>
      <w:lvlJc w:val="left"/>
      <w:pPr>
        <w:tabs>
          <w:tab w:val="left" w:pos="312"/>
        </w:tabs>
      </w:pPr>
    </w:lvl>
  </w:abstractNum>
  <w:abstractNum w:abstractNumId="1">
    <w:nsid w:val="541285ED"/>
    <w:multiLevelType w:val="singleLevel"/>
    <w:tmpl w:val="541285ED"/>
    <w:lvl w:ilvl="0" w:tentative="0">
      <w:start w:val="1"/>
      <w:numFmt w:val="decimal"/>
      <w:lvlText w:val="%1."/>
      <w:lvlJc w:val="left"/>
      <w:pPr>
        <w:tabs>
          <w:tab w:val="left" w:pos="312"/>
        </w:tabs>
      </w:pPr>
      <w:rPr>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0134735"/>
    <w:rsid w:val="737427E7"/>
    <w:rsid w:val="7EE53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3">
    <w:name w:val="heading 1"/>
    <w:basedOn w:val="1"/>
    <w:next w:val="1"/>
    <w:link w:val="8"/>
    <w:qFormat/>
    <w:uiPriority w:val="9"/>
    <w:pPr>
      <w:keepNext/>
      <w:keepLines/>
      <w:spacing w:before="340" w:line="578" w:lineRule="auto"/>
      <w:outlineLvl w:val="0"/>
    </w:pPr>
    <w:rPr>
      <w:b/>
      <w:bCs/>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文档正文"/>
    <w:basedOn w:val="1"/>
    <w:qFormat/>
    <w:uiPriority w:val="0"/>
    <w:pPr>
      <w:spacing w:afterLines="0" w:line="360" w:lineRule="auto"/>
    </w:pPr>
    <w:rPr>
      <w:rFonts w:cs="Arial"/>
      <w:bCs/>
    </w:rPr>
  </w:style>
  <w:style w:type="paragraph" w:styleId="4">
    <w:name w:val="Normal Indent"/>
    <w:basedOn w:val="1"/>
    <w:qFormat/>
    <w:uiPriority w:val="99"/>
    <w:pPr>
      <w:ind w:firstLine="420" w:firstLineChars="200"/>
    </w:pPr>
    <w:rPr>
      <w:rFonts w:cstheme="minorBidi"/>
    </w:rPr>
  </w:style>
  <w:style w:type="paragraph" w:customStyle="1" w:styleId="7">
    <w:name w:val="1册标题1"/>
    <w:basedOn w:val="1"/>
    <w:next w:val="1"/>
    <w:qFormat/>
    <w:uiPriority w:val="0"/>
    <w:pPr>
      <w:spacing w:beforeLines="50" w:afterLines="50"/>
      <w:jc w:val="center"/>
      <w:outlineLvl w:val="0"/>
    </w:pPr>
    <w:rPr>
      <w:rFonts w:eastAsia="黑体"/>
      <w:b/>
      <w:bCs/>
      <w:sz w:val="48"/>
      <w:szCs w:val="20"/>
    </w:rPr>
  </w:style>
  <w:style w:type="character" w:customStyle="1" w:styleId="8">
    <w:name w:val="标题 1 字符"/>
    <w:basedOn w:val="6"/>
    <w:link w:val="3"/>
    <w:qFormat/>
    <w:uiPriority w:val="9"/>
    <w:rPr>
      <w:b/>
      <w:bCs/>
      <w:kern w:val="44"/>
      <w:sz w:val="44"/>
      <w:szCs w:val="44"/>
    </w:rPr>
  </w:style>
  <w:style w:type="character" w:customStyle="1" w:styleId="9">
    <w:name w:val="ht1"/>
    <w:qFormat/>
    <w:uiPriority w:val="0"/>
    <w:rPr>
      <w:rFonts w:hint="default" w:ascii="_x000B__x000C_" w:hAnsi="_x000B__x000C_"/>
      <w:sz w:val="18"/>
      <w:szCs w:val="18"/>
    </w:rPr>
  </w:style>
  <w:style w:type="paragraph" w:customStyle="1" w:styleId="10">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2025-04-03T09:32:00Z</dcterms:created>
  <dc:creator>Administrator</dc:creator>
  <cp:lastModifiedBy>Administrator</cp:lastModifiedBy>
  <dcterms:modified xsi:type="dcterms:W3CDTF">2025-04-03T09:49:15Z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eyJoZGlkIjoiOWUyODI3ZDg3NjU4NzQ3NjJjMDhkZGY2ODVkYzI0NTAiLCJ1c2VySWQiOiI1MDk5NTI0NTYifQ==</vt:lpwstr>
  </property>
  <property fmtid="{D5CDD505-2E9C-101B-9397-08002B2CF9AE}" pid="4" name="ICV">
    <vt:lpwstr>C35743DDE9B2496E9074962106065E28_12</vt:lpwstr>
  </property>
</Properties>
</file>