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05373">
      <w:pPr>
        <w:pStyle w:val="8"/>
        <w:spacing w:before="120" w:after="120"/>
        <w:rPr>
          <w:rStyle w:val="9"/>
          <w:b w:val="0"/>
          <w:bCs w:val="0"/>
        </w:rPr>
      </w:pPr>
      <w:r>
        <w:rPr>
          <w:rStyle w:val="9"/>
          <w:rFonts w:hint="eastAsia"/>
          <w:b w:val="0"/>
          <w:bCs w:val="0"/>
        </w:rPr>
        <w:t>货物和服务需求书</w:t>
      </w:r>
    </w:p>
    <w:p w14:paraId="61EE2CA8">
      <w:pPr>
        <w:spacing w:after="60" w:line="360" w:lineRule="auto"/>
        <w:jc w:val="center"/>
        <w:rPr>
          <w:b/>
          <w:color w:val="FF0000"/>
          <w:sz w:val="28"/>
          <w:szCs w:val="28"/>
        </w:rPr>
      </w:pPr>
      <w:r>
        <w:rPr>
          <w:rFonts w:hint="eastAsia"/>
          <w:b/>
          <w:color w:val="FF0000"/>
          <w:sz w:val="28"/>
          <w:szCs w:val="28"/>
        </w:rPr>
        <w:t>（商务要求部分）</w:t>
      </w:r>
    </w:p>
    <w:p w14:paraId="0934069F">
      <w:pPr>
        <w:spacing w:after="60" w:line="360" w:lineRule="auto"/>
        <w:ind w:firstLine="420" w:firstLineChars="200"/>
        <w:jc w:val="left"/>
        <w:rPr>
          <w:rFonts w:hint="eastAsia" w:asciiTheme="minorEastAsia" w:hAnsiTheme="minorEastAsia" w:eastAsiaTheme="minorEastAsia"/>
          <w:szCs w:val="21"/>
        </w:rPr>
      </w:pPr>
      <w:r>
        <w:rPr>
          <w:rFonts w:hint="eastAsia" w:asciiTheme="minorEastAsia" w:hAnsiTheme="minorEastAsia" w:eastAsiaTheme="minorEastAsia"/>
          <w:szCs w:val="21"/>
        </w:rPr>
        <w:t>（一）</w:t>
      </w:r>
      <w:r>
        <w:rPr>
          <w:rFonts w:hint="eastAsia" w:asciiTheme="minorEastAsia" w:hAnsiTheme="minorEastAsia" w:eastAsiaTheme="minorEastAsia"/>
          <w:b/>
          <w:bCs/>
          <w:szCs w:val="21"/>
        </w:rPr>
        <w:t>采购项目基本信息</w:t>
      </w:r>
      <w:r>
        <w:rPr>
          <w:rFonts w:hint="eastAsia" w:asciiTheme="minorEastAsia" w:hAnsiTheme="minorEastAsia" w:eastAsiaTheme="minorEastAsia"/>
          <w:szCs w:val="21"/>
        </w:rPr>
        <w:t>：</w:t>
      </w:r>
    </w:p>
    <w:p w14:paraId="2BEEB038">
      <w:pPr>
        <w:spacing w:after="60" w:line="360" w:lineRule="auto"/>
        <w:ind w:firstLine="422" w:firstLineChars="200"/>
        <w:jc w:val="left"/>
        <w:rPr>
          <w:rFonts w:hint="eastAsia" w:cs="仿宋_GB2312" w:asciiTheme="minorEastAsia" w:hAnsiTheme="minorEastAsia" w:eastAsiaTheme="minorEastAsia"/>
          <w:szCs w:val="21"/>
        </w:rPr>
      </w:pPr>
      <w:r>
        <w:rPr>
          <w:rFonts w:hint="eastAsia" w:cs="仿宋_GB2312" w:asciiTheme="minorEastAsia" w:hAnsiTheme="minorEastAsia" w:eastAsiaTheme="minorEastAsia"/>
          <w:b/>
          <w:szCs w:val="21"/>
        </w:rPr>
        <w:t>1、交货地点：</w:t>
      </w:r>
      <w:r>
        <w:rPr>
          <w:rFonts w:hint="eastAsia" w:ascii="宋体" w:hAnsi="宋体"/>
          <w:kern w:val="0"/>
          <w:szCs w:val="21"/>
        </w:rPr>
        <w:t>采购人指定地点。</w:t>
      </w:r>
    </w:p>
    <w:p w14:paraId="7EEB1F7E">
      <w:pPr>
        <w:spacing w:after="60" w:line="360" w:lineRule="auto"/>
        <w:ind w:left="736" w:leftChars="200" w:hanging="316" w:hangingChars="150"/>
        <w:jc w:val="left"/>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2、交货时间：</w:t>
      </w:r>
    </w:p>
    <w:p w14:paraId="106873B7">
      <w:pPr>
        <w:pStyle w:val="10"/>
        <w:numPr>
          <w:ilvl w:val="0"/>
          <w:numId w:val="1"/>
        </w:numPr>
        <w:spacing w:after="60" w:line="360" w:lineRule="auto"/>
        <w:ind w:left="0" w:firstLine="424" w:firstLineChars="202"/>
        <w:rPr>
          <w:rFonts w:hint="eastAsia" w:ascii="宋体" w:hAnsi="宋体" w:cs="宋体"/>
          <w:szCs w:val="21"/>
        </w:rPr>
      </w:pPr>
      <w:r>
        <w:rPr>
          <w:rFonts w:hint="eastAsia" w:ascii="宋体" w:hAnsi="宋体" w:cs="宋体"/>
          <w:szCs w:val="21"/>
        </w:rPr>
        <w:t>交货期：系指合同签订之日起至货物运抵采购人指定地点的时间期限。具体是指：合同签订后</w:t>
      </w:r>
      <w:r>
        <w:rPr>
          <w:rFonts w:hint="eastAsia" w:ascii="宋体" w:hAnsi="宋体" w:cs="宋体"/>
          <w:szCs w:val="21"/>
          <w:u w:val="single"/>
        </w:rPr>
        <w:t>20</w:t>
      </w:r>
      <w:r>
        <w:rPr>
          <w:rFonts w:hint="eastAsia" w:ascii="宋体" w:hAnsi="宋体" w:cs="宋体"/>
          <w:szCs w:val="21"/>
        </w:rPr>
        <w:t>日内。</w:t>
      </w:r>
    </w:p>
    <w:p w14:paraId="261D5F44">
      <w:pPr>
        <w:pStyle w:val="2"/>
        <w:numPr>
          <w:ilvl w:val="0"/>
          <w:numId w:val="1"/>
        </w:numPr>
        <w:ind w:left="0" w:firstLine="424" w:firstLineChars="202"/>
      </w:pPr>
      <w:r>
        <w:rPr>
          <w:rFonts w:hint="eastAsia" w:ascii="宋体" w:hAnsi="宋体" w:cs="宋体"/>
          <w:szCs w:val="21"/>
        </w:rPr>
        <w:t>完工期要求：系指货物到达采购人指定交货地点，并且完成安装、调试，验收合格交付使用的时间。具体是指：合同签订后</w:t>
      </w:r>
      <w:r>
        <w:rPr>
          <w:rFonts w:hint="eastAsia" w:ascii="宋体" w:hAnsi="宋体" w:cs="宋体"/>
          <w:szCs w:val="21"/>
          <w:u w:val="single"/>
        </w:rPr>
        <w:t>30</w:t>
      </w:r>
      <w:r>
        <w:rPr>
          <w:rFonts w:hint="eastAsia" w:ascii="宋体" w:hAnsi="宋体" w:cs="宋体"/>
          <w:szCs w:val="21"/>
        </w:rPr>
        <w:t>日内。</w:t>
      </w:r>
    </w:p>
    <w:p w14:paraId="1D242C19">
      <w:pPr>
        <w:spacing w:after="60" w:line="360" w:lineRule="auto"/>
        <w:ind w:firstLine="422" w:firstLineChars="200"/>
        <w:jc w:val="left"/>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 xml:space="preserve">3、安装调试： </w:t>
      </w:r>
    </w:p>
    <w:p w14:paraId="20241811">
      <w:pPr>
        <w:pStyle w:val="2"/>
        <w:ind w:firstLine="424" w:firstLineChars="202"/>
        <w:rPr>
          <w:rFonts w:hint="eastAsia" w:cs="宋体" w:asciiTheme="minorEastAsia" w:hAnsiTheme="minorEastAsia" w:eastAsiaTheme="minorEastAsia"/>
          <w:kern w:val="0"/>
          <w:szCs w:val="21"/>
        </w:rPr>
      </w:pPr>
      <w:r>
        <w:rPr>
          <w:rFonts w:hint="eastAsia" w:asciiTheme="minorEastAsia" w:hAnsiTheme="minorEastAsia" w:eastAsiaTheme="minorEastAsia"/>
        </w:rPr>
        <w:t>1.</w:t>
      </w:r>
      <w:r>
        <w:rPr>
          <w:rFonts w:hint="eastAsia" w:cs="宋体" w:asciiTheme="minorEastAsia" w:hAnsiTheme="minorEastAsia" w:eastAsiaTheme="minorEastAsia"/>
          <w:kern w:val="0"/>
          <w:szCs w:val="21"/>
        </w:rPr>
        <w:t>运输、安装条件：</w:t>
      </w:r>
    </w:p>
    <w:p w14:paraId="0CC7288D">
      <w:pPr>
        <w:pStyle w:val="2"/>
        <w:ind w:firstLine="424" w:firstLineChars="202"/>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1.1 投标供应商须在签订合同之日起3个工作日内向采购人提供设备的运行、安装、使用环境要求。</w:t>
      </w:r>
    </w:p>
    <w:p w14:paraId="793F593E">
      <w:pPr>
        <w:pStyle w:val="2"/>
        <w:ind w:firstLine="424" w:firstLineChars="202"/>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1.2在采购人指定的项目地点进行安装调试；</w:t>
      </w:r>
    </w:p>
    <w:p w14:paraId="4026CF00">
      <w:pPr>
        <w:pStyle w:val="2"/>
        <w:ind w:firstLine="424" w:firstLineChars="202"/>
        <w:rPr>
          <w:rFonts w:hint="eastAsia" w:hAnsi="宋体" w:cs="宋体"/>
          <w:kern w:val="0"/>
          <w:szCs w:val="21"/>
        </w:rPr>
      </w:pPr>
      <w:r>
        <w:rPr>
          <w:rFonts w:hint="eastAsia" w:hAnsi="宋体" w:cs="宋体"/>
          <w:kern w:val="0"/>
          <w:szCs w:val="21"/>
        </w:rPr>
        <w:t>2.培训：</w:t>
      </w:r>
    </w:p>
    <w:p w14:paraId="665D9971">
      <w:pPr>
        <w:pStyle w:val="4"/>
        <w:spacing w:after="60" w:line="360" w:lineRule="auto"/>
        <w:ind w:firstLine="424" w:firstLineChars="202"/>
        <w:rPr>
          <w:rFonts w:hint="eastAsia" w:hAnsi="宋体"/>
          <w:color w:val="808080"/>
          <w:szCs w:val="21"/>
        </w:rPr>
      </w:pPr>
      <w:r>
        <w:rPr>
          <w:rFonts w:hint="eastAsia" w:hAnsi="宋体" w:cs="宋体"/>
          <w:kern w:val="0"/>
          <w:szCs w:val="21"/>
        </w:rPr>
        <w:t>2.1投标供应商应派专业技术人员免费对采购单位指定人员进行定期培训及指导，直至其完全掌握设备的基本故障处理技术。</w:t>
      </w:r>
    </w:p>
    <w:p w14:paraId="2960CE32">
      <w:pPr>
        <w:pStyle w:val="2"/>
        <w:ind w:firstLine="424" w:firstLineChars="202"/>
        <w:rPr>
          <w:rFonts w:hint="eastAsia" w:hAnsi="宋体" w:cs="宋体"/>
          <w:kern w:val="0"/>
          <w:szCs w:val="21"/>
        </w:rPr>
      </w:pPr>
      <w:r>
        <w:rPr>
          <w:rFonts w:hint="eastAsia" w:hAnsi="宋体" w:cs="宋体"/>
          <w:kern w:val="0"/>
          <w:szCs w:val="21"/>
        </w:rPr>
        <w:t>2.2 现场培训：投标供应商应提供现场技术培训，保证使用人员正常操作设备的各种功能。</w:t>
      </w:r>
    </w:p>
    <w:p w14:paraId="1A8DB116">
      <w:pPr>
        <w:pStyle w:val="2"/>
        <w:ind w:firstLine="424" w:firstLineChars="202"/>
        <w:rPr>
          <w:rFonts w:hint="eastAsia" w:hAnsi="宋体" w:cs="宋体"/>
          <w:kern w:val="0"/>
          <w:szCs w:val="21"/>
        </w:rPr>
      </w:pPr>
      <w:r>
        <w:rPr>
          <w:rFonts w:hint="eastAsia" w:hAnsi="宋体" w:cs="宋体"/>
          <w:kern w:val="0"/>
          <w:szCs w:val="21"/>
        </w:rPr>
        <w:t>3、知识产权：</w:t>
      </w:r>
    </w:p>
    <w:p w14:paraId="544819AC">
      <w:pPr>
        <w:pStyle w:val="2"/>
        <w:ind w:firstLine="424" w:firstLineChars="202"/>
        <w:rPr>
          <w:rFonts w:hint="eastAsia" w:hAnsi="宋体" w:cs="宋体"/>
          <w:kern w:val="0"/>
          <w:szCs w:val="21"/>
        </w:rPr>
      </w:pPr>
      <w:r>
        <w:rPr>
          <w:rFonts w:hint="eastAsia" w:hAnsi="宋体" w:cs="宋体"/>
          <w:kern w:val="0"/>
          <w:szCs w:val="21"/>
        </w:rPr>
        <w:t>3.1采购人购买产品后，有权对该产品与其他设备进行配套、整合或适当改进，而免受侵犯专利权的起诉。</w:t>
      </w:r>
    </w:p>
    <w:p w14:paraId="166B6D7A">
      <w:pPr>
        <w:pStyle w:val="2"/>
        <w:ind w:firstLine="424" w:firstLineChars="202"/>
        <w:rPr>
          <w:rFonts w:hint="eastAsia" w:hAnsi="宋体" w:cs="宋体"/>
          <w:szCs w:val="21"/>
        </w:rPr>
      </w:pPr>
      <w:r>
        <w:rPr>
          <w:rFonts w:hint="eastAsia" w:asciiTheme="minorEastAsia" w:hAnsiTheme="minorEastAsia" w:eastAsiaTheme="minorEastAsia"/>
        </w:rPr>
        <w:t>4.</w:t>
      </w:r>
      <w:r>
        <w:rPr>
          <w:rFonts w:hint="eastAsia" w:hAnsi="宋体" w:cs="宋体"/>
          <w:szCs w:val="21"/>
        </w:rPr>
        <w:t xml:space="preserve"> 其他事项：</w:t>
      </w:r>
    </w:p>
    <w:p w14:paraId="67EB4CDF">
      <w:pPr>
        <w:pStyle w:val="2"/>
        <w:ind w:firstLine="424" w:firstLineChars="202"/>
        <w:rPr>
          <w:rFonts w:hint="eastAsia" w:ascii="宋体" w:hAnsi="宋体"/>
          <w:kern w:val="0"/>
        </w:rPr>
      </w:pPr>
      <w:r>
        <w:rPr>
          <w:rFonts w:hint="eastAsia" w:ascii="宋体" w:hAnsi="宋体"/>
        </w:rPr>
        <w:t>4.</w:t>
      </w:r>
      <w:r>
        <w:rPr>
          <w:rFonts w:ascii="宋体" w:hAnsi="宋体"/>
          <w:kern w:val="0"/>
        </w:rPr>
        <w:t>1标书技术要求未涉及部分按相关标准要求执行。</w:t>
      </w:r>
    </w:p>
    <w:p w14:paraId="48F0E6C5">
      <w:pPr>
        <w:pStyle w:val="2"/>
        <w:ind w:firstLine="424" w:firstLineChars="202"/>
        <w:rPr>
          <w:rFonts w:hint="eastAsia" w:ascii="宋体" w:hAnsi="宋体"/>
          <w:kern w:val="0"/>
        </w:rPr>
      </w:pPr>
      <w:r>
        <w:rPr>
          <w:rFonts w:hint="eastAsia" w:ascii="宋体" w:hAnsi="宋体"/>
        </w:rPr>
        <w:t>4.</w:t>
      </w:r>
      <w:r>
        <w:rPr>
          <w:rFonts w:ascii="宋体" w:hAnsi="宋体"/>
          <w:kern w:val="0"/>
        </w:rPr>
        <w:t>2相关标准无明确要求时，按有关规范、供电部门的要求执行。货物安装中严禁剥去电缆外皮。</w:t>
      </w:r>
    </w:p>
    <w:p w14:paraId="5CD1F2A6">
      <w:pPr>
        <w:pStyle w:val="2"/>
        <w:ind w:firstLine="424" w:firstLineChars="202"/>
        <w:rPr>
          <w:rFonts w:hint="eastAsia" w:ascii="宋体" w:hAnsi="宋体"/>
          <w:kern w:val="0"/>
        </w:rPr>
      </w:pPr>
      <w:r>
        <w:rPr>
          <w:rFonts w:hint="eastAsia" w:ascii="宋体" w:hAnsi="宋体"/>
        </w:rPr>
        <w:t>4.</w:t>
      </w:r>
      <w:r>
        <w:rPr>
          <w:rFonts w:ascii="宋体" w:hAnsi="宋体"/>
          <w:kern w:val="0"/>
        </w:rPr>
        <w:t>3暗埋钢管的连接采用套接紧定螺钉连接工艺，螺钉紧定采用专用工具，连接管件必须采用合格产品，连接处缝隙必须采用电力复合脂封堵。室外预埋管全采用镀锌钢管，埋地钢管应涂刷两道沥清防腐。</w:t>
      </w:r>
    </w:p>
    <w:p w14:paraId="7D56B766">
      <w:pPr>
        <w:pStyle w:val="2"/>
        <w:ind w:firstLine="424" w:firstLineChars="202"/>
        <w:rPr>
          <w:rFonts w:hint="eastAsia" w:ascii="宋体" w:hAnsi="宋体"/>
          <w:kern w:val="0"/>
        </w:rPr>
      </w:pPr>
      <w:r>
        <w:rPr>
          <w:rFonts w:hint="eastAsia" w:ascii="宋体" w:hAnsi="宋体"/>
        </w:rPr>
        <w:t>4.</w:t>
      </w:r>
      <w:r>
        <w:rPr>
          <w:rFonts w:ascii="宋体" w:hAnsi="宋体"/>
          <w:kern w:val="0"/>
        </w:rPr>
        <w:t>4安环过程中不论电缆电线大小，接头处必须采用热缩套管套封，电缆头制作必须使用热缩型电缆头。所有的设备和材料在施工完毕后不能有任何污染、破坏、破损、生锈、脱漆现象。全部镀锌制品应采用热镀锌制品，如支架、吊架、扁钢等。</w:t>
      </w:r>
    </w:p>
    <w:p w14:paraId="02C6AFE1">
      <w:pPr>
        <w:pStyle w:val="2"/>
        <w:ind w:firstLine="424" w:firstLineChars="202"/>
        <w:rPr>
          <w:rFonts w:hint="eastAsia" w:ascii="宋体" w:hAnsi="宋体"/>
          <w:kern w:val="0"/>
        </w:rPr>
      </w:pPr>
      <w:r>
        <w:rPr>
          <w:rFonts w:hint="eastAsia" w:ascii="宋体" w:hAnsi="宋体"/>
        </w:rPr>
        <w:t>4.</w:t>
      </w:r>
      <w:r>
        <w:rPr>
          <w:rFonts w:ascii="宋体" w:hAnsi="宋体"/>
          <w:kern w:val="0"/>
        </w:rPr>
        <w:t>5保护接地导线使用黄绿双色线，火线与零线颜色要分开，接头均需搪锡处理。</w:t>
      </w:r>
    </w:p>
    <w:p w14:paraId="1B560CE7">
      <w:pPr>
        <w:pStyle w:val="2"/>
        <w:ind w:firstLine="424" w:firstLineChars="202"/>
        <w:rPr>
          <w:rFonts w:hint="eastAsia" w:ascii="宋体" w:hAnsi="宋体"/>
          <w:kern w:val="0"/>
        </w:rPr>
      </w:pPr>
      <w:r>
        <w:rPr>
          <w:rFonts w:hint="eastAsia" w:ascii="宋体" w:hAnsi="宋体"/>
        </w:rPr>
        <w:t>4.</w:t>
      </w:r>
      <w:r>
        <w:rPr>
          <w:rFonts w:ascii="宋体" w:hAnsi="宋体"/>
          <w:kern w:val="0"/>
        </w:rPr>
        <w:t>6设备当绝缘损坏时有可能带电的电气设备金属外壳，均应可靠接地。</w:t>
      </w:r>
    </w:p>
    <w:p w14:paraId="4F39BC4E">
      <w:pPr>
        <w:pStyle w:val="2"/>
        <w:ind w:firstLine="424" w:firstLineChars="202"/>
        <w:rPr>
          <w:rFonts w:hint="eastAsia" w:ascii="宋体" w:hAnsi="宋体"/>
          <w:kern w:val="0"/>
        </w:rPr>
      </w:pPr>
      <w:r>
        <w:rPr>
          <w:rFonts w:hint="eastAsia" w:ascii="宋体" w:hAnsi="宋体"/>
        </w:rPr>
        <w:t>4.</w:t>
      </w:r>
      <w:r>
        <w:rPr>
          <w:rFonts w:ascii="宋体" w:hAnsi="宋体"/>
          <w:kern w:val="0"/>
        </w:rPr>
        <w:t>7投标人必须安排技术人员认真仔细熟悉产品安装图纸，按照产品图纸安装要求结合实际进行安装，若发现存在不合理情况要及时进行反馈。</w:t>
      </w:r>
    </w:p>
    <w:p w14:paraId="74F9EAA1">
      <w:pPr>
        <w:pStyle w:val="2"/>
        <w:ind w:firstLine="424" w:firstLineChars="202"/>
        <w:rPr>
          <w:rFonts w:hint="eastAsia" w:ascii="宋体" w:hAnsi="宋体"/>
          <w:kern w:val="0"/>
        </w:rPr>
      </w:pPr>
      <w:r>
        <w:rPr>
          <w:rFonts w:hint="eastAsia" w:ascii="宋体" w:hAnsi="宋体"/>
        </w:rPr>
        <w:t>4.</w:t>
      </w:r>
      <w:r>
        <w:rPr>
          <w:rFonts w:ascii="宋体" w:hAnsi="宋体"/>
          <w:kern w:val="0"/>
        </w:rPr>
        <w:t>8管道及设备隐蔽前，应经检查和认可，隐蔽工程应有影像记录，经确认后，方可进行下一轮施工工序。</w:t>
      </w:r>
    </w:p>
    <w:p w14:paraId="3085717A">
      <w:pPr>
        <w:pStyle w:val="2"/>
        <w:ind w:firstLine="424" w:firstLineChars="202"/>
        <w:rPr>
          <w:rFonts w:hint="eastAsia" w:ascii="宋体" w:hAnsi="宋体" w:cs="宋体"/>
          <w:kern w:val="0"/>
          <w:szCs w:val="21"/>
        </w:rPr>
      </w:pPr>
      <w:r>
        <w:rPr>
          <w:rFonts w:hint="eastAsia" w:ascii="宋体" w:hAnsi="宋体"/>
        </w:rPr>
        <w:t>4.</w:t>
      </w:r>
      <w:r>
        <w:rPr>
          <w:rFonts w:ascii="宋体" w:hAnsi="宋体"/>
          <w:kern w:val="0"/>
        </w:rPr>
        <w:t>9安装调整验收后，需要复原现场。</w:t>
      </w:r>
    </w:p>
    <w:p w14:paraId="0FBC705C">
      <w:pPr>
        <w:spacing w:after="60" w:line="360" w:lineRule="auto"/>
        <w:ind w:left="709" w:leftChars="201" w:hanging="287" w:hangingChars="136"/>
        <w:jc w:val="left"/>
        <w:rPr>
          <w:rFonts w:hint="eastAsia" w:cs="仿宋_GB2312" w:asciiTheme="minorEastAsia" w:hAnsiTheme="minorEastAsia" w:eastAsiaTheme="minorEastAsia"/>
          <w:szCs w:val="21"/>
        </w:rPr>
      </w:pPr>
      <w:r>
        <w:rPr>
          <w:rFonts w:hint="eastAsia" w:cs="仿宋_GB2312" w:asciiTheme="minorEastAsia" w:hAnsiTheme="minorEastAsia" w:eastAsiaTheme="minorEastAsia"/>
          <w:b/>
          <w:szCs w:val="21"/>
        </w:rPr>
        <w:t>4、</w:t>
      </w:r>
      <w:r>
        <w:rPr>
          <w:rFonts w:hint="eastAsia" w:ascii="宋体" w:hAnsi="宋体"/>
          <w:bCs/>
          <w:color w:val="FF0000"/>
          <w:szCs w:val="21"/>
        </w:rPr>
        <w:t>★</w:t>
      </w:r>
      <w:r>
        <w:rPr>
          <w:rFonts w:hint="eastAsia" w:ascii="宋体" w:hAnsi="宋体"/>
          <w:b/>
          <w:szCs w:val="21"/>
        </w:rPr>
        <w:t>验收方式</w:t>
      </w:r>
      <w:r>
        <w:rPr>
          <w:rFonts w:hint="eastAsia" w:cs="仿宋_GB2312" w:asciiTheme="minorEastAsia" w:hAnsiTheme="minorEastAsia" w:eastAsiaTheme="minorEastAsia"/>
          <w:b/>
          <w:szCs w:val="21"/>
        </w:rPr>
        <w:t>：</w:t>
      </w:r>
      <w:r>
        <w:rPr>
          <w:rFonts w:hint="eastAsia" w:cs="仿宋_GB2312" w:asciiTheme="minorEastAsia" w:hAnsiTheme="minorEastAsia" w:eastAsiaTheme="minorEastAsia"/>
          <w:szCs w:val="21"/>
        </w:rPr>
        <w:t xml:space="preserve"> </w:t>
      </w:r>
    </w:p>
    <w:p w14:paraId="6CF2B213">
      <w:pPr>
        <w:numPr>
          <w:ilvl w:val="0"/>
          <w:numId w:val="2"/>
        </w:numPr>
        <w:spacing w:after="60" w:afterLines="0" w:line="360" w:lineRule="auto"/>
        <w:ind w:left="0" w:firstLine="426"/>
        <w:rPr>
          <w:rFonts w:hint="eastAsia" w:ascii="宋体" w:hAnsi="宋体"/>
          <w:bCs/>
          <w:szCs w:val="21"/>
        </w:rPr>
      </w:pPr>
      <w:r>
        <w:rPr>
          <w:rFonts w:hint="eastAsia" w:ascii="宋体" w:hAnsi="宋体"/>
          <w:bCs/>
          <w:szCs w:val="21"/>
        </w:rPr>
        <w:t>货到安装，现场验收。投标方派有经验的技术人员到现场进行安装、调试，直到货物正常使用。</w:t>
      </w:r>
    </w:p>
    <w:p w14:paraId="35A664E9">
      <w:pPr>
        <w:numPr>
          <w:ilvl w:val="0"/>
          <w:numId w:val="2"/>
        </w:numPr>
        <w:spacing w:after="60" w:afterLines="0" w:line="360" w:lineRule="auto"/>
        <w:ind w:left="0" w:firstLine="426"/>
        <w:rPr>
          <w:rFonts w:hint="eastAsia" w:ascii="宋体" w:hAnsi="宋体"/>
          <w:bCs/>
          <w:szCs w:val="21"/>
        </w:rPr>
      </w:pPr>
      <w:r>
        <w:rPr>
          <w:rFonts w:hint="eastAsia" w:ascii="宋体" w:hAnsi="宋体"/>
          <w:bCs/>
          <w:szCs w:val="21"/>
        </w:rPr>
        <w:t>货物安装调试正常使用后20个工作日内进行验收，由使用科室、中标单位等代表在场进行验收。</w:t>
      </w:r>
    </w:p>
    <w:p w14:paraId="4B7A0899">
      <w:pPr>
        <w:numPr>
          <w:ilvl w:val="0"/>
          <w:numId w:val="2"/>
        </w:numPr>
        <w:spacing w:after="60" w:afterLines="0" w:line="360" w:lineRule="auto"/>
        <w:ind w:left="0" w:firstLine="426"/>
        <w:rPr>
          <w:rFonts w:hint="eastAsia" w:ascii="宋体" w:hAnsi="宋体"/>
          <w:bCs/>
          <w:szCs w:val="21"/>
        </w:rPr>
      </w:pPr>
      <w:r>
        <w:rPr>
          <w:rFonts w:hint="eastAsia" w:ascii="宋体" w:hAnsi="宋体"/>
          <w:bCs/>
          <w:szCs w:val="21"/>
        </w:rPr>
        <w:t>产品质量和安装调试检验标准遵照国家相关规定和最新标准执行。提供的货物必须为全新、经检验合格的产品。确保产品投入使用前，按照国家规定办理好产品所有启用所需的资质证件，产品如需要计量检测的，中标供应商应免费提供相关计量检测部门出具的合格检测报告。 验收中如发现有质量不合格或型号规格、数量等与送货清单不符等情况，中标供应商应免费更换或补齐，并承担因此发生的违约责任。中标供应商货物经过双方检验认可后，签署验收报告。</w:t>
      </w:r>
    </w:p>
    <w:p w14:paraId="23A8BA23">
      <w:pPr>
        <w:numPr>
          <w:ilvl w:val="0"/>
          <w:numId w:val="2"/>
        </w:numPr>
        <w:spacing w:after="60" w:afterLines="0" w:line="360" w:lineRule="auto"/>
        <w:ind w:left="0" w:firstLine="426"/>
        <w:rPr>
          <w:rFonts w:hint="eastAsia" w:ascii="宋体" w:hAnsi="宋体"/>
          <w:bCs/>
          <w:szCs w:val="21"/>
        </w:rPr>
      </w:pPr>
      <w:r>
        <w:rPr>
          <w:rFonts w:hint="eastAsia" w:ascii="宋体" w:hAnsi="宋体"/>
          <w:bCs/>
          <w:szCs w:val="21"/>
        </w:rPr>
        <w:t>当满足以下条件时，采购方才向投标方签发货物验收报告：</w:t>
      </w:r>
    </w:p>
    <w:p w14:paraId="1AF9A16A">
      <w:pPr>
        <w:spacing w:after="60" w:line="360" w:lineRule="auto"/>
        <w:ind w:firstLine="426"/>
        <w:rPr>
          <w:rFonts w:hint="eastAsia" w:ascii="宋体" w:hAnsi="宋体"/>
          <w:bCs/>
          <w:szCs w:val="21"/>
        </w:rPr>
      </w:pPr>
      <w:r>
        <w:rPr>
          <w:rFonts w:hint="eastAsia" w:ascii="宋体" w:hAnsi="宋体"/>
          <w:bCs/>
          <w:szCs w:val="21"/>
        </w:rPr>
        <w:t>a、投标方已按照合同规定提供了全部产品及完整的技术资料。</w:t>
      </w:r>
    </w:p>
    <w:p w14:paraId="75B22B08">
      <w:pPr>
        <w:spacing w:after="60" w:line="360" w:lineRule="auto"/>
        <w:ind w:firstLine="426"/>
        <w:rPr>
          <w:rFonts w:hint="eastAsia" w:ascii="宋体" w:hAnsi="宋体"/>
          <w:bCs/>
          <w:szCs w:val="21"/>
        </w:rPr>
      </w:pPr>
      <w:r>
        <w:rPr>
          <w:rFonts w:hint="eastAsia" w:ascii="宋体" w:hAnsi="宋体"/>
          <w:bCs/>
          <w:szCs w:val="21"/>
        </w:rPr>
        <w:t>b、货物符合招标文件技术规格书的要求，性能满足要求。</w:t>
      </w:r>
    </w:p>
    <w:p w14:paraId="4F29D5B4">
      <w:pPr>
        <w:spacing w:after="60" w:line="360" w:lineRule="auto"/>
        <w:ind w:firstLine="426"/>
        <w:rPr>
          <w:rFonts w:hint="eastAsia" w:ascii="宋体" w:hAnsi="宋体"/>
          <w:bCs/>
          <w:szCs w:val="21"/>
        </w:rPr>
      </w:pPr>
      <w:r>
        <w:rPr>
          <w:rFonts w:hint="eastAsia" w:ascii="宋体" w:hAnsi="宋体"/>
          <w:bCs/>
          <w:szCs w:val="21"/>
        </w:rPr>
        <w:t>c、货物具备产品合格证。</w:t>
      </w:r>
    </w:p>
    <w:p w14:paraId="12F847B7">
      <w:pPr>
        <w:spacing w:after="60" w:line="360" w:lineRule="auto"/>
        <w:ind w:firstLine="426"/>
        <w:rPr>
          <w:rFonts w:hint="eastAsia" w:ascii="宋体" w:hAnsi="宋体"/>
          <w:bCs/>
          <w:szCs w:val="21"/>
        </w:rPr>
      </w:pPr>
      <w:r>
        <w:rPr>
          <w:rFonts w:hint="eastAsia" w:ascii="宋体" w:hAnsi="宋体"/>
          <w:bCs/>
          <w:szCs w:val="21"/>
        </w:rPr>
        <w:t>d、提供售后服务承诺书。</w:t>
      </w:r>
    </w:p>
    <w:p w14:paraId="59E3EB7B">
      <w:pPr>
        <w:spacing w:after="60" w:line="360" w:lineRule="auto"/>
        <w:ind w:firstLine="426"/>
        <w:rPr>
          <w:rFonts w:hint="eastAsia" w:ascii="宋体" w:hAnsi="宋体"/>
          <w:bCs/>
          <w:szCs w:val="21"/>
        </w:rPr>
      </w:pPr>
      <w:r>
        <w:rPr>
          <w:rFonts w:hint="eastAsia" w:ascii="宋体" w:hAnsi="宋体"/>
          <w:bCs/>
          <w:szCs w:val="21"/>
        </w:rPr>
        <w:t>(5)、若采购人对中标人所供货物有质疑，投标人需无条件配合采购人委托第三方质量检测部门按照招投标文件进行验收确认，所需费用由中标人负责支付。出具合格的检测验收报告，采购人将履行采购合同；若检测验收报告不合格，采购人有权取消采购合同，因此造成的经济损失由中标人承担。</w:t>
      </w:r>
    </w:p>
    <w:p w14:paraId="2C243464">
      <w:pPr>
        <w:spacing w:after="60" w:line="360" w:lineRule="auto"/>
        <w:ind w:left="1" w:firstLine="422" w:firstLineChars="200"/>
        <w:jc w:val="left"/>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5、付款方式：</w:t>
      </w:r>
      <w:r>
        <w:rPr>
          <w:rFonts w:hint="eastAsia" w:ascii="宋体" w:hAnsi="宋体"/>
          <w:szCs w:val="21"/>
        </w:rPr>
        <w:t>全部货物货到指定地点、完成安装调试且通过供电部门送电验收合格后，投标方提供全额发票后，采购方按财务流程支付货物合同款的</w:t>
      </w:r>
      <w:r>
        <w:rPr>
          <w:rFonts w:hint="eastAsia" w:ascii="宋体" w:hAnsi="宋体"/>
          <w:szCs w:val="21"/>
          <w:u w:val="single"/>
        </w:rPr>
        <w:t>100%</w:t>
      </w:r>
      <w:r>
        <w:rPr>
          <w:rFonts w:hint="eastAsia" w:ascii="宋体" w:hAnsi="宋体"/>
          <w:szCs w:val="21"/>
        </w:rPr>
        <w:t>。</w:t>
      </w:r>
    </w:p>
    <w:p w14:paraId="43D64007">
      <w:pPr>
        <w:pStyle w:val="2"/>
      </w:pPr>
    </w:p>
    <w:p w14:paraId="479B1B6B">
      <w:pPr>
        <w:pStyle w:val="2"/>
      </w:pPr>
    </w:p>
    <w:p w14:paraId="20259691">
      <w:pPr>
        <w:pStyle w:val="2"/>
      </w:pPr>
    </w:p>
    <w:p w14:paraId="28C025DA">
      <w:pPr>
        <w:spacing w:after="60" w:line="360" w:lineRule="auto"/>
        <w:ind w:left="1" w:firstLine="422" w:firstLineChars="200"/>
        <w:jc w:val="left"/>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6、</w:t>
      </w:r>
      <w:r>
        <w:rPr>
          <w:rFonts w:hint="eastAsia"/>
          <w:b/>
        </w:rPr>
        <w:t>免费保修期内售后服务要求</w:t>
      </w:r>
      <w:r>
        <w:rPr>
          <w:rFonts w:hint="eastAsia" w:cs="仿宋_GB2312" w:asciiTheme="minorEastAsia" w:hAnsiTheme="minorEastAsia" w:eastAsiaTheme="minorEastAsia"/>
          <w:b/>
          <w:szCs w:val="21"/>
        </w:rPr>
        <w:t>：</w:t>
      </w:r>
      <w:r>
        <w:rPr>
          <w:rFonts w:cs="仿宋_GB2312" w:asciiTheme="minorEastAsia" w:hAnsiTheme="minorEastAsia" w:eastAsiaTheme="minorEastAsia"/>
          <w:b/>
          <w:szCs w:val="21"/>
        </w:rPr>
        <w:t xml:space="preserve"> </w:t>
      </w:r>
    </w:p>
    <w:p w14:paraId="7007D1B4">
      <w:pPr>
        <w:numPr>
          <w:ilvl w:val="0"/>
          <w:numId w:val="3"/>
        </w:numPr>
        <w:spacing w:after="60" w:afterLines="0" w:line="360" w:lineRule="auto"/>
        <w:ind w:left="0" w:firstLine="420"/>
        <w:rPr>
          <w:rFonts w:hint="eastAsia" w:ascii="宋体" w:hAnsi="宋体"/>
          <w:bCs/>
          <w:szCs w:val="21"/>
        </w:rPr>
      </w:pPr>
      <w:r>
        <w:rPr>
          <w:rFonts w:hint="eastAsia" w:ascii="宋体" w:hAnsi="宋体"/>
          <w:bCs/>
          <w:szCs w:val="21"/>
        </w:rPr>
        <w:t>★</w:t>
      </w:r>
      <w:r>
        <w:rPr>
          <w:rFonts w:hint="eastAsia" w:ascii="宋体" w:hAnsi="宋体"/>
          <w:b/>
          <w:kern w:val="0"/>
          <w:szCs w:val="21"/>
        </w:rPr>
        <w:t>所投</w:t>
      </w:r>
      <w:r>
        <w:rPr>
          <w:rFonts w:hint="eastAsia" w:ascii="宋体" w:hAnsi="宋体"/>
          <w:b/>
          <w:szCs w:val="21"/>
        </w:rPr>
        <w:t>产品</w:t>
      </w:r>
      <w:r>
        <w:rPr>
          <w:rFonts w:hint="eastAsia" w:ascii="宋体" w:hAnsi="宋体"/>
          <w:b/>
          <w:kern w:val="0"/>
          <w:szCs w:val="21"/>
        </w:rPr>
        <w:t>原厂免费保修期最少</w:t>
      </w:r>
      <w:r>
        <w:rPr>
          <w:rFonts w:hint="eastAsia" w:ascii="宋体" w:hAnsi="宋体"/>
          <w:b/>
          <w:bCs/>
          <w:kern w:val="0"/>
          <w:szCs w:val="21"/>
          <w:u w:val="single"/>
        </w:rPr>
        <w:t xml:space="preserve"> 5</w:t>
      </w:r>
      <w:r>
        <w:rPr>
          <w:rFonts w:hint="eastAsia" w:ascii="宋体" w:hAnsi="宋体"/>
          <w:b/>
          <w:kern w:val="0"/>
          <w:szCs w:val="21"/>
        </w:rPr>
        <w:t>年</w:t>
      </w:r>
      <w:r>
        <w:rPr>
          <w:rFonts w:ascii="宋体" w:hAnsi="宋体"/>
          <w:kern w:val="0"/>
          <w:szCs w:val="21"/>
        </w:rPr>
        <w:t>,</w:t>
      </w:r>
      <w:r>
        <w:rPr>
          <w:rFonts w:hint="eastAsia" w:ascii="宋体" w:hAnsi="宋体"/>
          <w:bCs/>
          <w:szCs w:val="21"/>
        </w:rPr>
        <w:t>时间自最终验收合格并交付使用之日起计算；。投标人与采购人签订合同前，须提供与生产厂家签订的售后服务协议（投标人如果是厂家则直接提供售后服务承诺函）。</w:t>
      </w:r>
    </w:p>
    <w:p w14:paraId="7704E790">
      <w:pPr>
        <w:numPr>
          <w:ilvl w:val="0"/>
          <w:numId w:val="3"/>
        </w:numPr>
        <w:spacing w:after="60" w:afterLines="0" w:line="360" w:lineRule="auto"/>
        <w:ind w:left="0" w:firstLine="420"/>
        <w:rPr>
          <w:rFonts w:hint="eastAsia" w:ascii="宋体" w:hAnsi="宋体"/>
          <w:kern w:val="0"/>
          <w:szCs w:val="21"/>
        </w:rPr>
      </w:pPr>
      <w:r>
        <w:rPr>
          <w:rFonts w:hint="eastAsia" w:ascii="宋体" w:hAnsi="宋体"/>
          <w:bCs/>
          <w:szCs w:val="21"/>
        </w:rPr>
        <w:t>★</w:t>
      </w:r>
      <w:r>
        <w:rPr>
          <w:rFonts w:hint="eastAsia" w:ascii="宋体" w:hAnsi="宋体"/>
          <w:kern w:val="0"/>
          <w:szCs w:val="21"/>
        </w:rPr>
        <w:t>免费保修期</w:t>
      </w:r>
      <w:r>
        <w:rPr>
          <w:rFonts w:hint="eastAsia" w:ascii="宋体" w:hAnsi="宋体"/>
          <w:bCs/>
          <w:szCs w:val="21"/>
        </w:rPr>
        <w:t>内，供应商应无偿并迅速更换由于元件缺陷及制造工艺等问题而发生故障的产品。</w:t>
      </w:r>
    </w:p>
    <w:p w14:paraId="12348536">
      <w:pPr>
        <w:numPr>
          <w:ilvl w:val="0"/>
          <w:numId w:val="3"/>
        </w:numPr>
        <w:spacing w:after="60" w:afterLines="0" w:line="360" w:lineRule="auto"/>
        <w:ind w:left="0" w:firstLine="420"/>
        <w:rPr>
          <w:rFonts w:hint="eastAsia" w:ascii="宋体" w:hAnsi="宋体"/>
          <w:bCs/>
          <w:szCs w:val="21"/>
        </w:rPr>
      </w:pPr>
      <w:r>
        <w:rPr>
          <w:rFonts w:hint="eastAsia" w:ascii="宋体" w:hAnsi="宋体"/>
          <w:kern w:val="0"/>
          <w:szCs w:val="21"/>
        </w:rPr>
        <w:t>开通有</w:t>
      </w:r>
      <w:r>
        <w:rPr>
          <w:rFonts w:ascii="宋体" w:hAnsi="宋体"/>
          <w:kern w:val="0"/>
          <w:szCs w:val="21"/>
        </w:rPr>
        <w:t>24</w:t>
      </w:r>
      <w:r>
        <w:rPr>
          <w:rFonts w:hint="eastAsia" w:ascii="宋体" w:hAnsi="宋体"/>
          <w:kern w:val="0"/>
          <w:szCs w:val="21"/>
        </w:rPr>
        <w:t>小时免费</w:t>
      </w:r>
      <w:r>
        <w:rPr>
          <w:rFonts w:ascii="宋体" w:hAnsi="宋体"/>
          <w:kern w:val="0"/>
          <w:szCs w:val="21"/>
        </w:rPr>
        <w:t>服务</w:t>
      </w:r>
      <w:r>
        <w:rPr>
          <w:rFonts w:hint="eastAsia" w:ascii="宋体" w:hAnsi="宋体"/>
          <w:kern w:val="0"/>
          <w:szCs w:val="21"/>
        </w:rPr>
        <w:t xml:space="preserve">电话，有专业团队负责随时提供技术咨询服务；当接到报修电话后 </w:t>
      </w:r>
      <w:r>
        <w:rPr>
          <w:rFonts w:hint="eastAsia" w:ascii="宋体" w:hAnsi="宋体"/>
          <w:bCs/>
          <w:kern w:val="0"/>
          <w:szCs w:val="21"/>
          <w:u w:val="single"/>
        </w:rPr>
        <w:t>30分钟</w:t>
      </w:r>
      <w:r>
        <w:rPr>
          <w:rFonts w:hint="eastAsia" w:ascii="宋体" w:hAnsi="宋体"/>
          <w:kern w:val="0"/>
          <w:szCs w:val="21"/>
        </w:rPr>
        <w:t>内响应，2小时内提出维修方案，</w:t>
      </w:r>
      <w:r>
        <w:rPr>
          <w:rFonts w:hint="eastAsia" w:ascii="宋体" w:hAnsi="宋体"/>
          <w:bCs/>
          <w:kern w:val="0"/>
          <w:szCs w:val="21"/>
          <w:u w:val="single"/>
        </w:rPr>
        <w:t>8</w:t>
      </w:r>
      <w:r>
        <w:rPr>
          <w:rFonts w:hint="eastAsia" w:ascii="宋体" w:hAnsi="宋体"/>
          <w:kern w:val="0"/>
          <w:szCs w:val="21"/>
        </w:rPr>
        <w:t>小时内到达现场维修，直至货物达到合同或标书规定的技术性能为止。</w:t>
      </w:r>
    </w:p>
    <w:p w14:paraId="03E732E0">
      <w:pPr>
        <w:numPr>
          <w:ilvl w:val="0"/>
          <w:numId w:val="3"/>
        </w:numPr>
        <w:spacing w:after="60" w:afterLines="0" w:line="360" w:lineRule="auto"/>
        <w:ind w:left="0" w:firstLine="420"/>
        <w:rPr>
          <w:rFonts w:hint="eastAsia" w:ascii="宋体" w:hAnsi="宋体"/>
          <w:szCs w:val="21"/>
        </w:rPr>
      </w:pPr>
      <w:r>
        <w:rPr>
          <w:rFonts w:hint="eastAsia" w:ascii="宋体" w:hAnsi="宋体"/>
          <w:szCs w:val="21"/>
        </w:rPr>
        <w:t>在免费保修期内，一旦发生质量问题，投标人保证在接到通知8小时内赶到现场进行修理或更换；免费保修期内非因用户的人为原因而出现质量问题，由投标人负责包修、包换或者包退，并承担修理、调换或退换的实际费用。投标人不能修理或不能调换，按不能交货处理。</w:t>
      </w:r>
    </w:p>
    <w:p w14:paraId="5B5DD3ED">
      <w:pPr>
        <w:spacing w:after="60" w:line="360" w:lineRule="auto"/>
        <w:ind w:firstLine="422" w:firstLineChars="200"/>
        <w:jc w:val="left"/>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7、</w:t>
      </w:r>
      <w:r>
        <w:rPr>
          <w:rFonts w:hint="eastAsia"/>
          <w:b/>
        </w:rPr>
        <w:t>免费保修期外售后服务要求</w:t>
      </w:r>
      <w:r>
        <w:rPr>
          <w:rFonts w:hint="eastAsia" w:cs="仿宋_GB2312" w:asciiTheme="minorEastAsia" w:hAnsiTheme="minorEastAsia" w:eastAsiaTheme="minorEastAsia"/>
          <w:b/>
          <w:szCs w:val="21"/>
        </w:rPr>
        <w:t>：</w:t>
      </w:r>
    </w:p>
    <w:p w14:paraId="7A441118">
      <w:pPr>
        <w:pStyle w:val="10"/>
        <w:numPr>
          <w:ilvl w:val="0"/>
          <w:numId w:val="4"/>
        </w:numPr>
        <w:spacing w:after="60" w:line="360" w:lineRule="auto"/>
        <w:ind w:left="0" w:firstLine="424" w:firstLineChars="202"/>
        <w:rPr>
          <w:rFonts w:hint="eastAsia" w:ascii="宋体" w:hAnsi="宋体"/>
          <w:bCs/>
          <w:szCs w:val="21"/>
        </w:rPr>
      </w:pPr>
      <w:r>
        <w:rPr>
          <w:rFonts w:hint="eastAsia" w:ascii="宋体" w:hAnsi="宋体"/>
          <w:kern w:val="0"/>
          <w:szCs w:val="21"/>
        </w:rPr>
        <w:t>由货物制造商提供售后服务，</w:t>
      </w:r>
      <w:r>
        <w:rPr>
          <w:rFonts w:hint="eastAsia" w:ascii="宋体" w:hAnsi="宋体"/>
          <w:bCs/>
          <w:kern w:val="0"/>
          <w:szCs w:val="21"/>
          <w:u w:val="single"/>
        </w:rPr>
        <w:t xml:space="preserve"> 30</w:t>
      </w:r>
      <w:r>
        <w:rPr>
          <w:rFonts w:hint="eastAsia" w:ascii="宋体" w:hAnsi="宋体"/>
          <w:kern w:val="0"/>
          <w:szCs w:val="21"/>
        </w:rPr>
        <w:t>小时内响应，</w:t>
      </w:r>
      <w:r>
        <w:rPr>
          <w:rFonts w:hint="eastAsia" w:ascii="宋体" w:hAnsi="宋体"/>
          <w:bCs/>
          <w:kern w:val="0"/>
          <w:szCs w:val="21"/>
          <w:u w:val="single"/>
        </w:rPr>
        <w:t xml:space="preserve"> 4</w:t>
      </w:r>
      <w:r>
        <w:rPr>
          <w:rFonts w:hint="eastAsia" w:ascii="宋体" w:hAnsi="宋体"/>
          <w:kern w:val="0"/>
          <w:szCs w:val="21"/>
        </w:rPr>
        <w:t>小时维修到位，并在8小时内消除故障（不可抗力情况除外）。</w:t>
      </w:r>
    </w:p>
    <w:p w14:paraId="2050ADB9">
      <w:pPr>
        <w:pStyle w:val="10"/>
        <w:numPr>
          <w:ilvl w:val="0"/>
          <w:numId w:val="4"/>
        </w:numPr>
        <w:spacing w:after="60" w:line="360" w:lineRule="auto"/>
        <w:ind w:left="0" w:firstLine="424" w:firstLineChars="202"/>
        <w:rPr>
          <w:rFonts w:hint="eastAsia" w:ascii="宋体" w:hAnsi="宋体"/>
          <w:kern w:val="0"/>
          <w:szCs w:val="21"/>
        </w:rPr>
      </w:pPr>
      <w:r>
        <w:rPr>
          <w:rFonts w:hint="eastAsia" w:ascii="宋体" w:hAnsi="宋体"/>
          <w:kern w:val="0"/>
          <w:szCs w:val="21"/>
        </w:rPr>
        <w:t>免费保修期满后负责货物的终身维修，以优惠价供应维修零配件、消耗品以及提供延续保修合同。</w:t>
      </w:r>
    </w:p>
    <w:p w14:paraId="52254A2D">
      <w:pPr>
        <w:pStyle w:val="10"/>
        <w:numPr>
          <w:ilvl w:val="0"/>
          <w:numId w:val="4"/>
        </w:numPr>
        <w:spacing w:after="60" w:line="360" w:lineRule="auto"/>
        <w:ind w:left="0" w:firstLine="424" w:firstLineChars="202"/>
        <w:rPr>
          <w:rFonts w:hint="eastAsia" w:ascii="宋体" w:hAnsi="宋体"/>
          <w:kern w:val="0"/>
          <w:szCs w:val="21"/>
        </w:rPr>
      </w:pPr>
      <w:r>
        <w:rPr>
          <w:rFonts w:hint="eastAsia" w:ascii="宋体" w:hAnsi="宋体"/>
          <w:kern w:val="0"/>
          <w:szCs w:val="21"/>
        </w:rPr>
        <w:t>维修的货物经采购人验收合格，且提供维修专用发票后，采购人支付维修费用。</w:t>
      </w:r>
    </w:p>
    <w:p w14:paraId="7B9B947C">
      <w:pPr>
        <w:pStyle w:val="10"/>
        <w:numPr>
          <w:ilvl w:val="0"/>
          <w:numId w:val="4"/>
        </w:numPr>
        <w:spacing w:after="60" w:line="360" w:lineRule="auto"/>
        <w:ind w:left="0" w:firstLine="424" w:firstLineChars="202"/>
        <w:rPr>
          <w:rFonts w:hint="eastAsia" w:ascii="宋体" w:hAnsi="宋体"/>
          <w:kern w:val="0"/>
          <w:szCs w:val="21"/>
        </w:rPr>
      </w:pPr>
      <w:r>
        <w:rPr>
          <w:rFonts w:hint="eastAsia" w:ascii="宋体" w:hAnsi="宋体"/>
          <w:kern w:val="0"/>
          <w:szCs w:val="21"/>
        </w:rPr>
        <w:t>不得以任何理由不按时进行维修，不得要求采购人购买所谓“保修服务”（即：不论货物有无故障先买保修服务），不得在货物中嵌设任何不利于采购人使用与维修货物的障碍。</w:t>
      </w:r>
    </w:p>
    <w:p w14:paraId="1A9C47B8">
      <w:pPr>
        <w:pStyle w:val="10"/>
        <w:numPr>
          <w:ilvl w:val="0"/>
          <w:numId w:val="4"/>
        </w:numPr>
        <w:spacing w:after="60" w:line="360" w:lineRule="auto"/>
        <w:ind w:left="0" w:firstLine="424" w:firstLineChars="202"/>
        <w:rPr>
          <w:rFonts w:hint="eastAsia" w:ascii="宋体" w:hAnsi="宋体"/>
          <w:bCs/>
          <w:kern w:val="0"/>
          <w:szCs w:val="21"/>
        </w:rPr>
      </w:pPr>
      <w:r>
        <w:rPr>
          <w:rFonts w:hint="eastAsia" w:ascii="宋体" w:hAnsi="宋体"/>
          <w:bCs/>
          <w:kern w:val="0"/>
          <w:szCs w:val="21"/>
        </w:rPr>
        <w:t>采购人有权检验或测试货物，以确认货物是否符合合同规格的要求，并且不承担额外的费用（所需费用由中标供应商承担）。如果发现所交货物与投标文件中所承诺的不符或存在质量、技术缺陷等</w:t>
      </w:r>
      <w:r>
        <w:rPr>
          <w:rFonts w:ascii="宋体" w:hAnsi="宋体"/>
          <w:bCs/>
          <w:kern w:val="0"/>
          <w:szCs w:val="21"/>
        </w:rPr>
        <w:t>,</w:t>
      </w:r>
      <w:r>
        <w:rPr>
          <w:rFonts w:hint="eastAsia" w:ascii="宋体" w:hAnsi="宋体"/>
          <w:bCs/>
          <w:kern w:val="0"/>
          <w:szCs w:val="21"/>
        </w:rPr>
        <w:t>采购人可以拒绝接收该货物</w:t>
      </w:r>
      <w:r>
        <w:rPr>
          <w:rFonts w:ascii="宋体" w:hAnsi="宋体"/>
          <w:bCs/>
          <w:kern w:val="0"/>
          <w:szCs w:val="21"/>
        </w:rPr>
        <w:t>,</w:t>
      </w:r>
      <w:r>
        <w:rPr>
          <w:rFonts w:hint="eastAsia" w:ascii="宋体" w:hAnsi="宋体"/>
          <w:bCs/>
          <w:kern w:val="0"/>
          <w:szCs w:val="21"/>
        </w:rPr>
        <w:t>投标人应在</w:t>
      </w:r>
      <w:r>
        <w:rPr>
          <w:rFonts w:hint="eastAsia" w:ascii="宋体" w:hAnsi="宋体"/>
          <w:bCs/>
          <w:kern w:val="0"/>
          <w:szCs w:val="21"/>
          <w:u w:val="single"/>
        </w:rPr>
        <w:t>7</w:t>
      </w:r>
      <w:r>
        <w:rPr>
          <w:rFonts w:hint="eastAsia" w:ascii="宋体" w:hAnsi="宋体"/>
          <w:bCs/>
          <w:kern w:val="0"/>
          <w:szCs w:val="21"/>
        </w:rPr>
        <w:t>天内采取补足、更换或退货等措施</w:t>
      </w:r>
      <w:r>
        <w:rPr>
          <w:rFonts w:ascii="宋体" w:hAnsi="宋体"/>
          <w:bCs/>
          <w:kern w:val="0"/>
          <w:szCs w:val="21"/>
        </w:rPr>
        <w:t>,</w:t>
      </w:r>
      <w:r>
        <w:rPr>
          <w:rFonts w:hint="eastAsia" w:ascii="宋体" w:hAnsi="宋体"/>
          <w:bCs/>
          <w:kern w:val="0"/>
          <w:szCs w:val="21"/>
        </w:rPr>
        <w:t>以满足规格的要求，由此发生的一切损失和费用由投标人承担。</w:t>
      </w:r>
    </w:p>
    <w:p w14:paraId="78781C42">
      <w:pPr>
        <w:pStyle w:val="10"/>
        <w:numPr>
          <w:ilvl w:val="0"/>
          <w:numId w:val="4"/>
        </w:numPr>
        <w:spacing w:after="60" w:line="360" w:lineRule="auto"/>
        <w:ind w:left="0" w:firstLine="412" w:firstLineChars="202"/>
        <w:rPr>
          <w:rFonts w:hint="eastAsia" w:ascii="宋体" w:hAnsi="宋体"/>
          <w:spacing w:val="-3"/>
          <w:szCs w:val="21"/>
        </w:rPr>
      </w:pPr>
      <w:r>
        <w:rPr>
          <w:rFonts w:hint="eastAsia" w:ascii="宋体" w:hAnsi="宋体"/>
          <w:spacing w:val="-3"/>
          <w:szCs w:val="21"/>
        </w:rPr>
        <w:t>货物安装过程中不得破坏已有设备、器具和装修，如有损坏，需无条件恢复原状。</w:t>
      </w:r>
    </w:p>
    <w:p w14:paraId="32E0F595">
      <w:pPr>
        <w:pStyle w:val="10"/>
        <w:numPr>
          <w:ilvl w:val="0"/>
          <w:numId w:val="4"/>
        </w:numPr>
        <w:spacing w:after="60" w:line="360" w:lineRule="auto"/>
        <w:ind w:left="0" w:firstLine="424" w:firstLineChars="202"/>
        <w:rPr>
          <w:rFonts w:hint="eastAsia" w:ascii="宋体" w:hAnsi="宋体"/>
          <w:bCs/>
          <w:kern w:val="0"/>
          <w:szCs w:val="21"/>
        </w:rPr>
      </w:pPr>
      <w:r>
        <w:rPr>
          <w:rFonts w:hint="eastAsia" w:ascii="宋体" w:hAnsi="宋体"/>
          <w:szCs w:val="21"/>
        </w:rPr>
        <w:t>由于供应商的原因，在货到一周内未进行安装调试，或安装调试时间超过正常要求，按每超过一天罚款合同总额的0.5%或按实际损失罚款。情节严重者，将依法律程序对供应商进行索赔。</w:t>
      </w:r>
    </w:p>
    <w:p w14:paraId="7B3A144A">
      <w:pPr>
        <w:pStyle w:val="10"/>
        <w:numPr>
          <w:ilvl w:val="0"/>
          <w:numId w:val="4"/>
        </w:numPr>
        <w:spacing w:after="60" w:line="360" w:lineRule="auto"/>
        <w:ind w:left="0" w:firstLine="424" w:firstLineChars="202"/>
        <w:rPr>
          <w:rFonts w:hint="eastAsia" w:ascii="宋体" w:hAnsi="宋体"/>
          <w:kern w:val="0"/>
          <w:szCs w:val="21"/>
        </w:rPr>
      </w:pPr>
      <w:r>
        <w:rPr>
          <w:rFonts w:hint="eastAsia" w:ascii="宋体" w:hAnsi="宋体"/>
          <w:kern w:val="0"/>
          <w:szCs w:val="21"/>
        </w:rPr>
        <w:t>供应商保证采购人在使用该货物或其任何一部分时，免受第三方提出的侵犯其专利权、商标权、著作权或其它知识产权的起诉。投标人保证所提供软件的合法性，所发生的任何知识产权纠纷与采购人无关。</w:t>
      </w:r>
    </w:p>
    <w:p w14:paraId="7E295FCD">
      <w:pPr>
        <w:pStyle w:val="10"/>
        <w:numPr>
          <w:ilvl w:val="0"/>
          <w:numId w:val="4"/>
        </w:numPr>
        <w:spacing w:after="60" w:line="360" w:lineRule="auto"/>
        <w:ind w:left="0" w:firstLine="424" w:firstLineChars="202"/>
        <w:rPr>
          <w:rFonts w:hint="eastAsia" w:ascii="宋体" w:hAnsi="宋体"/>
          <w:bCs/>
          <w:kern w:val="0"/>
          <w:szCs w:val="21"/>
        </w:rPr>
      </w:pPr>
      <w:r>
        <w:rPr>
          <w:rFonts w:hint="eastAsia" w:ascii="宋体" w:hAnsi="宋体"/>
          <w:bCs/>
          <w:kern w:val="0"/>
          <w:szCs w:val="21"/>
        </w:rPr>
        <w:t>供应商所交货物的品种、型号、规格、质量、功能、技术参数等方面与投标不符（不能实质性满足采购文件要求）的，采购人有权拒绝收货，供应商向采购人偿付项目采购金额千分之</w:t>
      </w:r>
      <w:r>
        <w:rPr>
          <w:rFonts w:hint="eastAsia" w:ascii="宋体" w:hAnsi="宋体"/>
          <w:bCs/>
          <w:kern w:val="0"/>
          <w:szCs w:val="21"/>
          <w:u w:val="single"/>
        </w:rPr>
        <w:t xml:space="preserve">  10</w:t>
      </w:r>
      <w:r>
        <w:rPr>
          <w:rFonts w:hint="eastAsia" w:ascii="宋体" w:hAnsi="宋体"/>
          <w:bCs/>
          <w:kern w:val="0"/>
          <w:szCs w:val="21"/>
        </w:rPr>
        <w:t>的违约金；造成严重后果的，根据《</w:t>
      </w:r>
      <w:r>
        <w:rPr>
          <w:rFonts w:ascii="宋体" w:hAnsi="宋体"/>
          <w:bCs/>
          <w:kern w:val="0"/>
          <w:szCs w:val="21"/>
        </w:rPr>
        <w:t>深圳经济特区政府采购条例</w:t>
      </w:r>
      <w:r>
        <w:rPr>
          <w:rFonts w:hint="eastAsia" w:ascii="宋体" w:hAnsi="宋体"/>
          <w:bCs/>
          <w:kern w:val="0"/>
          <w:szCs w:val="21"/>
        </w:rPr>
        <w:t>》第五十七条第（二）款规定，由主管部门对供应商进行处罚。</w:t>
      </w:r>
    </w:p>
    <w:p w14:paraId="0318630B">
      <w:pPr>
        <w:pStyle w:val="2"/>
        <w:numPr>
          <w:ilvl w:val="0"/>
          <w:numId w:val="4"/>
        </w:numPr>
        <w:ind w:left="0" w:firstLine="424" w:firstLineChars="202"/>
      </w:pPr>
      <w:r>
        <w:rPr>
          <w:rFonts w:hint="eastAsia" w:ascii="宋体" w:hAnsi="宋体"/>
          <w:kern w:val="0"/>
          <w:szCs w:val="21"/>
        </w:rPr>
        <w:t>其他要求：</w:t>
      </w:r>
      <w:r>
        <w:rPr>
          <w:rFonts w:hint="eastAsia" w:ascii="宋体" w:hAnsi="宋体"/>
          <w:szCs w:val="21"/>
        </w:rPr>
        <w:t>按相关法律法规协助采购方完成原变压器的拆除清理及到相关部门备案等与本项目相关的事项。</w:t>
      </w:r>
    </w:p>
    <w:p w14:paraId="114759F5">
      <w:pPr>
        <w:spacing w:after="60" w:line="360" w:lineRule="auto"/>
        <w:ind w:firstLine="422" w:firstLineChars="200"/>
        <w:jc w:val="left"/>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8、报价要求：</w:t>
      </w:r>
    </w:p>
    <w:p w14:paraId="32D200F9">
      <w:pPr>
        <w:pStyle w:val="10"/>
        <w:numPr>
          <w:ilvl w:val="0"/>
          <w:numId w:val="5"/>
        </w:numPr>
        <w:spacing w:after="60" w:line="360" w:lineRule="auto"/>
        <w:ind w:left="0" w:firstLine="424" w:firstLineChars="202"/>
        <w:jc w:val="left"/>
        <w:rPr>
          <w:rFonts w:hint="eastAsia" w:ascii="宋体" w:hAnsi="宋体"/>
          <w:szCs w:val="21"/>
        </w:rPr>
      </w:pPr>
      <w:r>
        <w:rPr>
          <w:rFonts w:hint="eastAsia" w:ascii="宋体" w:hAnsi="宋体"/>
          <w:szCs w:val="21"/>
        </w:rPr>
        <w:t xml:space="preserve">投标总价必须是完成该项目的一切费用总和，包括货物费、人工费、运输费、装卸费、保险费、管理费、技术培训费、设备安装费、调试费、售后服务费、计量测试费、国家规定的各项税费等全部费用； </w:t>
      </w:r>
    </w:p>
    <w:p w14:paraId="3D7C0C40">
      <w:pPr>
        <w:pStyle w:val="10"/>
        <w:numPr>
          <w:ilvl w:val="0"/>
          <w:numId w:val="5"/>
        </w:numPr>
        <w:spacing w:after="60" w:line="360" w:lineRule="auto"/>
        <w:ind w:left="0" w:firstLine="424" w:firstLineChars="202"/>
        <w:jc w:val="left"/>
        <w:rPr>
          <w:rFonts w:hint="eastAsia" w:ascii="宋体" w:hAnsi="宋体"/>
          <w:szCs w:val="21"/>
        </w:rPr>
      </w:pPr>
      <w:r>
        <w:rPr>
          <w:rFonts w:hint="eastAsia" w:ascii="宋体" w:hAnsi="宋体"/>
          <w:szCs w:val="21"/>
        </w:rPr>
        <w:t>投标供应商应当根据本企业的成本自行决定报价，但不得低于其企业成本的报价也不得超过项目预算金额。</w:t>
      </w:r>
    </w:p>
    <w:p w14:paraId="179EFD25">
      <w:pPr>
        <w:pStyle w:val="2"/>
        <w:numPr>
          <w:ilvl w:val="0"/>
          <w:numId w:val="5"/>
        </w:numPr>
        <w:ind w:left="0" w:firstLine="424" w:firstLineChars="202"/>
        <w:rPr>
          <w:rFonts w:hint="eastAsia" w:ascii="宋体" w:hAnsi="宋体"/>
          <w:szCs w:val="21"/>
        </w:rPr>
      </w:pPr>
      <w:r>
        <w:rPr>
          <w:rFonts w:hint="eastAsia" w:ascii="宋体" w:hAnsi="宋体"/>
          <w:szCs w:val="21"/>
        </w:rPr>
        <w:t>投标供应商的报价，应当是本项目采购范围和采购文件及合同条款上所列的各项内容中所述的全部，不得以任何理由予以重复。</w:t>
      </w:r>
    </w:p>
    <w:p w14:paraId="7E3FA142">
      <w:pPr>
        <w:spacing w:after="60" w:line="360" w:lineRule="auto"/>
        <w:ind w:firstLine="422" w:firstLineChars="200"/>
        <w:jc w:val="left"/>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9、技术培训要求：</w:t>
      </w:r>
    </w:p>
    <w:p w14:paraId="237344F3">
      <w:pPr>
        <w:pStyle w:val="10"/>
        <w:numPr>
          <w:ilvl w:val="0"/>
          <w:numId w:val="6"/>
        </w:numPr>
        <w:spacing w:after="60" w:line="360" w:lineRule="auto"/>
        <w:ind w:left="0" w:firstLine="424" w:firstLineChars="202"/>
        <w:jc w:val="left"/>
        <w:rPr>
          <w:rFonts w:hint="eastAsia" w:ascii="宋体" w:hAnsi="宋体"/>
          <w:sz w:val="24"/>
          <w:szCs w:val="24"/>
        </w:rPr>
      </w:pPr>
      <w:r>
        <w:rPr>
          <w:rFonts w:hint="eastAsia" w:hAnsi="宋体" w:cs="宋体"/>
          <w:kern w:val="0"/>
          <w:szCs w:val="21"/>
        </w:rPr>
        <w:t>投标供应商应派专业技术人员免费对采购单位指定人员进行定期培训及指导，直至其完全掌握设备的基本故障处理技术。</w:t>
      </w:r>
      <w:r>
        <w:rPr>
          <w:rFonts w:hint="eastAsia" w:ascii="宋体" w:hAnsi="宋体"/>
          <w:szCs w:val="21"/>
        </w:rPr>
        <w:t>项目所必须的技术培训工作要求，由供应商自行说明。</w:t>
      </w:r>
    </w:p>
    <w:p w14:paraId="3712D353">
      <w:pPr>
        <w:pStyle w:val="2"/>
        <w:numPr>
          <w:ilvl w:val="0"/>
          <w:numId w:val="6"/>
        </w:numPr>
        <w:ind w:left="0" w:firstLine="424" w:firstLineChars="202"/>
        <w:rPr>
          <w:bCs w:val="0"/>
        </w:rPr>
      </w:pPr>
      <w:r>
        <w:rPr>
          <w:rFonts w:hint="eastAsia" w:hAnsi="宋体" w:cs="宋体"/>
          <w:bCs w:val="0"/>
          <w:kern w:val="0"/>
          <w:szCs w:val="21"/>
        </w:rPr>
        <w:t>现场培训：投标供应商应提供现场技术培训，保证使用人员正常操作设备的各种功能。</w:t>
      </w:r>
    </w:p>
    <w:p w14:paraId="6093C90A">
      <w:pPr>
        <w:spacing w:after="60" w:line="360" w:lineRule="auto"/>
        <w:ind w:firstLine="316" w:firstLineChars="150"/>
        <w:jc w:val="left"/>
        <w:rPr>
          <w:rFonts w:hint="eastAsia" w:cs="仿宋_GB2312" w:asciiTheme="minorEastAsia" w:hAnsiTheme="minorEastAsia" w:eastAsiaTheme="minorEastAsia"/>
          <w:b/>
          <w:szCs w:val="21"/>
        </w:rPr>
      </w:pPr>
      <w:r>
        <w:rPr>
          <w:rFonts w:hint="eastAsia" w:cs="仿宋_GB2312" w:asciiTheme="minorEastAsia" w:hAnsiTheme="minorEastAsia" w:eastAsiaTheme="minorEastAsia"/>
          <w:b/>
          <w:szCs w:val="21"/>
        </w:rPr>
        <w:t>7、技术资料：</w:t>
      </w:r>
      <w:r>
        <w:rPr>
          <w:rFonts w:hint="eastAsia" w:ascii="宋体" w:hAnsi="宋体" w:cs="宋体"/>
          <w:kern w:val="0"/>
          <w:szCs w:val="21"/>
        </w:rPr>
        <w:t>投标供应商应提供全套、完整的书面技术资料，包括仪器说明书、操作手册、简单维修说明、图纸等。</w:t>
      </w:r>
    </w:p>
    <w:p w14:paraId="3C704F60">
      <w:pPr>
        <w:pStyle w:val="10"/>
        <w:widowControl/>
        <w:spacing w:after="25" w:line="360" w:lineRule="auto"/>
        <w:ind w:left="426" w:firstLine="0" w:firstLineChars="0"/>
        <w:jc w:val="left"/>
        <w:rPr>
          <w:rFonts w:hint="eastAsia" w:ascii="宋体" w:hAnsi="宋体"/>
          <w:color w:val="000000"/>
          <w:szCs w:val="21"/>
        </w:rPr>
      </w:pPr>
    </w:p>
    <w:p w14:paraId="3BA1F2F0">
      <w:pPr>
        <w:spacing w:after="60" w:line="360" w:lineRule="auto"/>
        <w:jc w:val="center"/>
        <w:rPr>
          <w:b/>
          <w:color w:val="FF0000"/>
          <w:sz w:val="28"/>
          <w:szCs w:val="28"/>
        </w:rPr>
      </w:pPr>
      <w:r>
        <w:rPr>
          <w:rFonts w:hint="eastAsia"/>
          <w:b/>
          <w:color w:val="FF0000"/>
          <w:sz w:val="28"/>
          <w:szCs w:val="28"/>
        </w:rPr>
        <w:t>（技术要求部分）</w:t>
      </w:r>
    </w:p>
    <w:p w14:paraId="4EF1AB97">
      <w:pPr>
        <w:pStyle w:val="10"/>
        <w:numPr>
          <w:ilvl w:val="0"/>
          <w:numId w:val="7"/>
        </w:numPr>
        <w:autoSpaceDE w:val="0"/>
        <w:autoSpaceDN w:val="0"/>
        <w:adjustRightInd w:val="0"/>
        <w:spacing w:after="60" w:line="360" w:lineRule="auto"/>
        <w:ind w:firstLineChars="0"/>
        <w:jc w:val="left"/>
        <w:rPr>
          <w:rFonts w:ascii="宋体" w:cs="宋体" w:hAnsiTheme="minorHAnsi"/>
          <w:b/>
          <w:color w:val="000000"/>
          <w:kern w:val="0"/>
          <w:szCs w:val="21"/>
        </w:rPr>
      </w:pPr>
      <w:r>
        <w:rPr>
          <w:rFonts w:hint="eastAsia" w:ascii="宋体" w:cs="宋体" w:hAnsiTheme="minorHAnsi"/>
          <w:b/>
          <w:color w:val="000000"/>
          <w:kern w:val="0"/>
          <w:szCs w:val="21"/>
        </w:rPr>
        <w:t>配置清单</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4961"/>
        <w:gridCol w:w="1134"/>
        <w:gridCol w:w="1270"/>
      </w:tblGrid>
      <w:tr w14:paraId="60A56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101" w:type="dxa"/>
            <w:vAlign w:val="center"/>
          </w:tcPr>
          <w:p w14:paraId="10CB4593">
            <w:pPr>
              <w:autoSpaceDE w:val="0"/>
              <w:autoSpaceDN w:val="0"/>
              <w:adjustRightInd w:val="0"/>
              <w:spacing w:after="60" w:line="360" w:lineRule="auto"/>
              <w:jc w:val="center"/>
              <w:rPr>
                <w:rFonts w:ascii="宋体" w:cs="宋体" w:hAnsiTheme="minorHAnsi"/>
                <w:b/>
                <w:bCs/>
                <w:color w:val="000000"/>
                <w:kern w:val="0"/>
                <w:szCs w:val="21"/>
              </w:rPr>
            </w:pPr>
            <w:r>
              <w:rPr>
                <w:rFonts w:hint="eastAsia" w:cs="宋体" w:asciiTheme="minorEastAsia" w:hAnsiTheme="minorEastAsia" w:eastAsiaTheme="minorEastAsia"/>
                <w:b/>
                <w:bCs/>
                <w:kern w:val="0"/>
                <w:szCs w:val="21"/>
                <w:lang w:bidi="ar"/>
              </w:rPr>
              <w:t>序号</w:t>
            </w:r>
          </w:p>
        </w:tc>
        <w:tc>
          <w:tcPr>
            <w:tcW w:w="4961" w:type="dxa"/>
            <w:vAlign w:val="center"/>
          </w:tcPr>
          <w:p w14:paraId="6138DE62">
            <w:pPr>
              <w:autoSpaceDE w:val="0"/>
              <w:autoSpaceDN w:val="0"/>
              <w:adjustRightInd w:val="0"/>
              <w:spacing w:after="60" w:line="360" w:lineRule="auto"/>
              <w:jc w:val="center"/>
              <w:rPr>
                <w:rFonts w:ascii="宋体" w:cs="宋体" w:hAnsiTheme="minorHAnsi"/>
                <w:b/>
                <w:bCs/>
                <w:color w:val="000000"/>
                <w:kern w:val="0"/>
                <w:szCs w:val="21"/>
              </w:rPr>
            </w:pPr>
            <w:r>
              <w:rPr>
                <w:rFonts w:hint="eastAsia" w:cs="宋体" w:asciiTheme="minorEastAsia" w:hAnsiTheme="minorEastAsia" w:eastAsiaTheme="minorEastAsia"/>
                <w:b/>
                <w:bCs/>
                <w:kern w:val="0"/>
                <w:szCs w:val="21"/>
                <w:lang w:bidi="ar"/>
              </w:rPr>
              <w:t>名称</w:t>
            </w:r>
          </w:p>
        </w:tc>
        <w:tc>
          <w:tcPr>
            <w:tcW w:w="1134" w:type="dxa"/>
            <w:vAlign w:val="center"/>
          </w:tcPr>
          <w:p w14:paraId="5DB84877">
            <w:pPr>
              <w:autoSpaceDE w:val="0"/>
              <w:autoSpaceDN w:val="0"/>
              <w:adjustRightInd w:val="0"/>
              <w:spacing w:after="60" w:line="360" w:lineRule="auto"/>
              <w:jc w:val="center"/>
              <w:rPr>
                <w:rFonts w:ascii="宋体" w:cs="宋体" w:hAnsiTheme="minorHAnsi"/>
                <w:b/>
                <w:bCs/>
                <w:color w:val="000000"/>
                <w:kern w:val="0"/>
                <w:szCs w:val="21"/>
              </w:rPr>
            </w:pPr>
            <w:r>
              <w:rPr>
                <w:rFonts w:hint="eastAsia" w:cs="宋体" w:asciiTheme="minorEastAsia" w:hAnsiTheme="minorEastAsia" w:eastAsiaTheme="minorEastAsia"/>
                <w:b/>
                <w:bCs/>
                <w:kern w:val="0"/>
                <w:szCs w:val="21"/>
                <w:lang w:bidi="ar"/>
              </w:rPr>
              <w:t>数量</w:t>
            </w:r>
          </w:p>
        </w:tc>
        <w:tc>
          <w:tcPr>
            <w:tcW w:w="1270" w:type="dxa"/>
            <w:vAlign w:val="center"/>
          </w:tcPr>
          <w:p w14:paraId="01C0E888">
            <w:pPr>
              <w:autoSpaceDE w:val="0"/>
              <w:autoSpaceDN w:val="0"/>
              <w:adjustRightInd w:val="0"/>
              <w:spacing w:after="60" w:line="360" w:lineRule="auto"/>
              <w:jc w:val="center"/>
              <w:rPr>
                <w:rFonts w:ascii="宋体" w:cs="宋体" w:hAnsiTheme="minorHAnsi"/>
                <w:b/>
                <w:bCs/>
                <w:color w:val="000000"/>
                <w:kern w:val="0"/>
                <w:szCs w:val="21"/>
              </w:rPr>
            </w:pPr>
            <w:r>
              <w:rPr>
                <w:rFonts w:hint="eastAsia" w:cs="宋体" w:asciiTheme="minorEastAsia" w:hAnsiTheme="minorEastAsia" w:eastAsiaTheme="minorEastAsia"/>
                <w:b/>
                <w:bCs/>
                <w:kern w:val="0"/>
                <w:szCs w:val="21"/>
                <w:lang w:bidi="ar"/>
              </w:rPr>
              <w:t>单位</w:t>
            </w:r>
          </w:p>
        </w:tc>
      </w:tr>
      <w:tr w14:paraId="1527B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101" w:type="dxa"/>
            <w:vAlign w:val="center"/>
          </w:tcPr>
          <w:p w14:paraId="438A1489">
            <w:pPr>
              <w:autoSpaceDE w:val="0"/>
              <w:autoSpaceDN w:val="0"/>
              <w:adjustRightInd w:val="0"/>
              <w:spacing w:after="60" w:line="360" w:lineRule="auto"/>
              <w:jc w:val="center"/>
              <w:rPr>
                <w:rFonts w:ascii="宋体" w:cs="宋体" w:hAnsiTheme="minorHAnsi"/>
                <w:b/>
                <w:color w:val="000000"/>
                <w:kern w:val="0"/>
                <w:szCs w:val="21"/>
              </w:rPr>
            </w:pPr>
            <w:r>
              <w:rPr>
                <w:rFonts w:hint="eastAsia" w:cs="宋体" w:asciiTheme="minorEastAsia" w:hAnsiTheme="minorEastAsia" w:eastAsiaTheme="minorEastAsia"/>
                <w:kern w:val="0"/>
                <w:szCs w:val="21"/>
                <w:lang w:bidi="ar"/>
              </w:rPr>
              <w:t>1</w:t>
            </w:r>
          </w:p>
        </w:tc>
        <w:tc>
          <w:tcPr>
            <w:tcW w:w="4961" w:type="dxa"/>
            <w:vAlign w:val="center"/>
          </w:tcPr>
          <w:p w14:paraId="23429534">
            <w:pPr>
              <w:autoSpaceDE w:val="0"/>
              <w:autoSpaceDN w:val="0"/>
              <w:adjustRightInd w:val="0"/>
              <w:spacing w:after="60" w:line="360" w:lineRule="auto"/>
              <w:jc w:val="center"/>
              <w:rPr>
                <w:rFonts w:ascii="宋体" w:cs="宋体" w:hAnsiTheme="minorHAnsi"/>
                <w:b/>
                <w:color w:val="000000"/>
                <w:kern w:val="0"/>
                <w:szCs w:val="21"/>
              </w:rPr>
            </w:pPr>
            <w:r>
              <w:rPr>
                <w:rFonts w:hint="eastAsia" w:cs="仿宋_GB2312" w:asciiTheme="minorEastAsia" w:hAnsiTheme="minorEastAsia" w:eastAsiaTheme="minorEastAsia"/>
                <w:bCs/>
                <w:szCs w:val="21"/>
              </w:rPr>
              <w:t>干式变压器</w:t>
            </w:r>
            <w:r>
              <w:rPr>
                <w:rFonts w:asciiTheme="minorEastAsia" w:hAnsiTheme="minorEastAsia" w:eastAsiaTheme="minorEastAsia"/>
                <w:bCs/>
                <w:szCs w:val="21"/>
              </w:rPr>
              <w:t>（户内SCB1</w:t>
            </w:r>
            <w:r>
              <w:rPr>
                <w:rFonts w:hint="eastAsia" w:asciiTheme="minorEastAsia" w:hAnsiTheme="minorEastAsia" w:eastAsiaTheme="minorEastAsia"/>
                <w:bCs/>
                <w:szCs w:val="21"/>
              </w:rPr>
              <w:t>4</w:t>
            </w:r>
            <w:r>
              <w:rPr>
                <w:rFonts w:asciiTheme="minorEastAsia" w:hAnsiTheme="minorEastAsia" w:eastAsiaTheme="minorEastAsia"/>
                <w:bCs/>
                <w:szCs w:val="21"/>
              </w:rPr>
              <w:t>-</w:t>
            </w:r>
            <w:r>
              <w:rPr>
                <w:rFonts w:hint="eastAsia" w:asciiTheme="minorEastAsia" w:hAnsiTheme="minorEastAsia" w:eastAsiaTheme="minorEastAsia"/>
                <w:bCs/>
                <w:szCs w:val="21"/>
              </w:rPr>
              <w:t>1000/10</w:t>
            </w:r>
            <w:r>
              <w:rPr>
                <w:rFonts w:asciiTheme="minorEastAsia" w:hAnsiTheme="minorEastAsia" w:eastAsiaTheme="minorEastAsia"/>
                <w:bCs/>
                <w:szCs w:val="21"/>
              </w:rPr>
              <w:t>）</w:t>
            </w:r>
          </w:p>
        </w:tc>
        <w:tc>
          <w:tcPr>
            <w:tcW w:w="1134" w:type="dxa"/>
            <w:vAlign w:val="center"/>
          </w:tcPr>
          <w:p w14:paraId="4C629FAA">
            <w:pPr>
              <w:autoSpaceDE w:val="0"/>
              <w:autoSpaceDN w:val="0"/>
              <w:adjustRightInd w:val="0"/>
              <w:spacing w:after="60" w:line="360" w:lineRule="auto"/>
              <w:jc w:val="center"/>
              <w:rPr>
                <w:rFonts w:ascii="宋体" w:cs="宋体" w:hAnsiTheme="minorHAnsi"/>
                <w:color w:val="000000"/>
                <w:kern w:val="0"/>
                <w:szCs w:val="21"/>
              </w:rPr>
            </w:pPr>
            <w:r>
              <w:rPr>
                <w:rFonts w:hint="eastAsia" w:asciiTheme="minorEastAsia" w:hAnsiTheme="minorEastAsia" w:eastAsiaTheme="minorEastAsia"/>
                <w:szCs w:val="21"/>
              </w:rPr>
              <w:t>1</w:t>
            </w:r>
          </w:p>
        </w:tc>
        <w:tc>
          <w:tcPr>
            <w:tcW w:w="1270" w:type="dxa"/>
            <w:vAlign w:val="center"/>
          </w:tcPr>
          <w:p w14:paraId="7E942A4D">
            <w:pPr>
              <w:autoSpaceDE w:val="0"/>
              <w:autoSpaceDN w:val="0"/>
              <w:adjustRightInd w:val="0"/>
              <w:spacing w:after="60" w:line="360" w:lineRule="auto"/>
              <w:jc w:val="center"/>
              <w:rPr>
                <w:rFonts w:ascii="宋体" w:cs="宋体" w:hAnsiTheme="minorHAnsi"/>
                <w:color w:val="000000"/>
                <w:kern w:val="0"/>
                <w:szCs w:val="21"/>
              </w:rPr>
            </w:pPr>
            <w:r>
              <w:rPr>
                <w:rFonts w:hint="eastAsia" w:asciiTheme="minorEastAsia" w:hAnsiTheme="minorEastAsia" w:eastAsiaTheme="minorEastAsia"/>
                <w:szCs w:val="21"/>
              </w:rPr>
              <w:t>台</w:t>
            </w:r>
          </w:p>
        </w:tc>
      </w:tr>
      <w:tr w14:paraId="7D14C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101" w:type="dxa"/>
            <w:vAlign w:val="center"/>
          </w:tcPr>
          <w:p w14:paraId="30470953">
            <w:pPr>
              <w:autoSpaceDE w:val="0"/>
              <w:autoSpaceDN w:val="0"/>
              <w:adjustRightInd w:val="0"/>
              <w:spacing w:after="60" w:line="360" w:lineRule="auto"/>
              <w:jc w:val="center"/>
              <w:rPr>
                <w:rFonts w:ascii="宋体" w:cs="宋体" w:hAnsiTheme="minorHAnsi"/>
                <w:b/>
                <w:color w:val="000000"/>
                <w:kern w:val="0"/>
                <w:szCs w:val="21"/>
              </w:rPr>
            </w:pPr>
            <w:r>
              <w:rPr>
                <w:rFonts w:hint="eastAsia" w:cs="宋体" w:asciiTheme="minorEastAsia" w:hAnsiTheme="minorEastAsia" w:eastAsiaTheme="minorEastAsia"/>
                <w:kern w:val="0"/>
                <w:szCs w:val="21"/>
                <w:lang w:bidi="ar"/>
              </w:rPr>
              <w:t>2</w:t>
            </w:r>
          </w:p>
        </w:tc>
        <w:tc>
          <w:tcPr>
            <w:tcW w:w="4961" w:type="dxa"/>
            <w:vAlign w:val="center"/>
          </w:tcPr>
          <w:p w14:paraId="303D79CA">
            <w:pPr>
              <w:autoSpaceDE w:val="0"/>
              <w:autoSpaceDN w:val="0"/>
              <w:adjustRightInd w:val="0"/>
              <w:spacing w:after="60" w:line="360" w:lineRule="auto"/>
              <w:jc w:val="center"/>
              <w:rPr>
                <w:rFonts w:ascii="宋体" w:cs="宋体" w:hAnsiTheme="minorHAnsi"/>
                <w:b/>
                <w:color w:val="000000"/>
                <w:kern w:val="0"/>
                <w:szCs w:val="21"/>
              </w:rPr>
            </w:pPr>
            <w:r>
              <w:rPr>
                <w:rFonts w:hint="eastAsia" w:cs="仿宋_GB2312" w:asciiTheme="minorEastAsia" w:hAnsiTheme="minorEastAsia" w:eastAsiaTheme="minorEastAsia"/>
                <w:bCs/>
                <w:szCs w:val="21"/>
              </w:rPr>
              <w:t>干式变压器</w:t>
            </w:r>
            <w:r>
              <w:rPr>
                <w:rFonts w:asciiTheme="minorEastAsia" w:hAnsiTheme="minorEastAsia" w:eastAsiaTheme="minorEastAsia"/>
                <w:bCs/>
                <w:szCs w:val="21"/>
              </w:rPr>
              <w:t>（户内SCB1</w:t>
            </w:r>
            <w:r>
              <w:rPr>
                <w:rFonts w:hint="eastAsia" w:asciiTheme="minorEastAsia" w:hAnsiTheme="minorEastAsia" w:eastAsiaTheme="minorEastAsia"/>
                <w:bCs/>
                <w:szCs w:val="21"/>
              </w:rPr>
              <w:t>4</w:t>
            </w:r>
            <w:r>
              <w:rPr>
                <w:rFonts w:asciiTheme="minorEastAsia" w:hAnsiTheme="minorEastAsia" w:eastAsiaTheme="minorEastAsia"/>
                <w:bCs/>
                <w:szCs w:val="21"/>
              </w:rPr>
              <w:t>-</w:t>
            </w:r>
            <w:r>
              <w:rPr>
                <w:rFonts w:hint="eastAsia" w:asciiTheme="minorEastAsia" w:hAnsiTheme="minorEastAsia" w:eastAsiaTheme="minorEastAsia"/>
                <w:bCs/>
                <w:szCs w:val="21"/>
              </w:rPr>
              <w:t>1250/10</w:t>
            </w:r>
            <w:r>
              <w:rPr>
                <w:rFonts w:asciiTheme="minorEastAsia" w:hAnsiTheme="minorEastAsia" w:eastAsiaTheme="minorEastAsia"/>
                <w:bCs/>
                <w:szCs w:val="21"/>
              </w:rPr>
              <w:t>）</w:t>
            </w:r>
          </w:p>
        </w:tc>
        <w:tc>
          <w:tcPr>
            <w:tcW w:w="1134" w:type="dxa"/>
            <w:vAlign w:val="center"/>
          </w:tcPr>
          <w:p w14:paraId="4175FC8B">
            <w:pPr>
              <w:autoSpaceDE w:val="0"/>
              <w:autoSpaceDN w:val="0"/>
              <w:adjustRightInd w:val="0"/>
              <w:spacing w:after="60" w:line="360" w:lineRule="auto"/>
              <w:jc w:val="center"/>
              <w:rPr>
                <w:rFonts w:ascii="宋体" w:cs="宋体" w:hAnsiTheme="minorHAnsi"/>
                <w:color w:val="000000"/>
                <w:kern w:val="0"/>
                <w:szCs w:val="21"/>
              </w:rPr>
            </w:pPr>
            <w:r>
              <w:rPr>
                <w:rFonts w:hint="eastAsia" w:asciiTheme="minorEastAsia" w:hAnsiTheme="minorEastAsia" w:eastAsiaTheme="minorEastAsia"/>
                <w:szCs w:val="21"/>
              </w:rPr>
              <w:t>1</w:t>
            </w:r>
          </w:p>
        </w:tc>
        <w:tc>
          <w:tcPr>
            <w:tcW w:w="1270" w:type="dxa"/>
            <w:vAlign w:val="center"/>
          </w:tcPr>
          <w:p w14:paraId="6666493E">
            <w:pPr>
              <w:autoSpaceDE w:val="0"/>
              <w:autoSpaceDN w:val="0"/>
              <w:adjustRightInd w:val="0"/>
              <w:spacing w:after="60" w:line="360" w:lineRule="auto"/>
              <w:jc w:val="center"/>
              <w:rPr>
                <w:rFonts w:ascii="宋体" w:cs="宋体" w:hAnsiTheme="minorHAnsi"/>
                <w:color w:val="000000"/>
                <w:kern w:val="0"/>
                <w:szCs w:val="21"/>
              </w:rPr>
            </w:pPr>
            <w:r>
              <w:rPr>
                <w:rFonts w:hint="eastAsia" w:asciiTheme="minorEastAsia" w:hAnsiTheme="minorEastAsia" w:eastAsiaTheme="minorEastAsia"/>
                <w:szCs w:val="21"/>
              </w:rPr>
              <w:t>台</w:t>
            </w:r>
          </w:p>
        </w:tc>
      </w:tr>
      <w:tr w14:paraId="3F03F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101" w:type="dxa"/>
            <w:vAlign w:val="center"/>
          </w:tcPr>
          <w:p w14:paraId="221028A4">
            <w:pPr>
              <w:autoSpaceDE w:val="0"/>
              <w:autoSpaceDN w:val="0"/>
              <w:adjustRightInd w:val="0"/>
              <w:spacing w:after="60" w:line="360" w:lineRule="auto"/>
              <w:jc w:val="center"/>
              <w:rPr>
                <w:rFonts w:ascii="宋体" w:cs="宋体" w:hAnsiTheme="minorHAnsi"/>
                <w:b/>
                <w:color w:val="000000"/>
                <w:kern w:val="0"/>
                <w:szCs w:val="21"/>
              </w:rPr>
            </w:pPr>
            <w:r>
              <w:rPr>
                <w:rFonts w:hint="eastAsia" w:cs="宋体" w:asciiTheme="minorEastAsia" w:hAnsiTheme="minorEastAsia" w:eastAsiaTheme="minorEastAsia"/>
                <w:kern w:val="0"/>
                <w:szCs w:val="21"/>
                <w:lang w:bidi="ar"/>
              </w:rPr>
              <w:t>3</w:t>
            </w:r>
          </w:p>
        </w:tc>
        <w:tc>
          <w:tcPr>
            <w:tcW w:w="4961" w:type="dxa"/>
            <w:vAlign w:val="center"/>
          </w:tcPr>
          <w:p w14:paraId="60F3E7A1">
            <w:pPr>
              <w:autoSpaceDE w:val="0"/>
              <w:autoSpaceDN w:val="0"/>
              <w:adjustRightInd w:val="0"/>
              <w:spacing w:after="60" w:line="360" w:lineRule="auto"/>
              <w:jc w:val="center"/>
              <w:rPr>
                <w:rFonts w:ascii="宋体" w:cs="宋体" w:hAnsiTheme="minorHAnsi"/>
                <w:b/>
                <w:color w:val="000000"/>
                <w:kern w:val="0"/>
                <w:szCs w:val="21"/>
              </w:rPr>
            </w:pPr>
            <w:r>
              <w:rPr>
                <w:rFonts w:asciiTheme="minorEastAsia" w:hAnsiTheme="minorEastAsia" w:eastAsiaTheme="minorEastAsia"/>
                <w:bCs/>
                <w:szCs w:val="21"/>
              </w:rPr>
              <w:t>风机温控</w:t>
            </w:r>
          </w:p>
        </w:tc>
        <w:tc>
          <w:tcPr>
            <w:tcW w:w="1134" w:type="dxa"/>
            <w:vAlign w:val="center"/>
          </w:tcPr>
          <w:p w14:paraId="0809F358">
            <w:pPr>
              <w:autoSpaceDE w:val="0"/>
              <w:autoSpaceDN w:val="0"/>
              <w:adjustRightInd w:val="0"/>
              <w:spacing w:after="60" w:line="360" w:lineRule="auto"/>
              <w:jc w:val="center"/>
              <w:rPr>
                <w:rFonts w:ascii="宋体" w:cs="宋体" w:hAnsiTheme="minorHAnsi"/>
                <w:color w:val="000000"/>
                <w:kern w:val="0"/>
                <w:szCs w:val="21"/>
              </w:rPr>
            </w:pPr>
            <w:r>
              <w:rPr>
                <w:rFonts w:hint="eastAsia" w:cs="宋体" w:asciiTheme="minorEastAsia" w:hAnsiTheme="minorEastAsia" w:eastAsiaTheme="minorEastAsia"/>
                <w:kern w:val="0"/>
                <w:szCs w:val="21"/>
                <w:lang w:bidi="ar"/>
              </w:rPr>
              <w:t>2</w:t>
            </w:r>
          </w:p>
        </w:tc>
        <w:tc>
          <w:tcPr>
            <w:tcW w:w="1270" w:type="dxa"/>
            <w:vAlign w:val="center"/>
          </w:tcPr>
          <w:p w14:paraId="00C92102">
            <w:pPr>
              <w:autoSpaceDE w:val="0"/>
              <w:autoSpaceDN w:val="0"/>
              <w:adjustRightInd w:val="0"/>
              <w:spacing w:after="60" w:line="360" w:lineRule="auto"/>
              <w:jc w:val="center"/>
              <w:rPr>
                <w:rFonts w:ascii="宋体" w:cs="宋体" w:hAnsiTheme="minorHAnsi"/>
                <w:color w:val="000000"/>
                <w:kern w:val="0"/>
                <w:szCs w:val="21"/>
              </w:rPr>
            </w:pPr>
            <w:r>
              <w:rPr>
                <w:rFonts w:hint="eastAsia" w:cs="宋体" w:asciiTheme="minorEastAsia" w:hAnsiTheme="minorEastAsia" w:eastAsiaTheme="minorEastAsia"/>
                <w:kern w:val="0"/>
                <w:szCs w:val="21"/>
                <w:lang w:bidi="ar"/>
              </w:rPr>
              <w:t>个</w:t>
            </w:r>
          </w:p>
        </w:tc>
      </w:tr>
      <w:tr w14:paraId="7B94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101" w:type="dxa"/>
            <w:vAlign w:val="center"/>
          </w:tcPr>
          <w:p w14:paraId="1682EC29">
            <w:pPr>
              <w:autoSpaceDE w:val="0"/>
              <w:autoSpaceDN w:val="0"/>
              <w:adjustRightInd w:val="0"/>
              <w:spacing w:after="60" w:line="360" w:lineRule="auto"/>
              <w:jc w:val="center"/>
              <w:rPr>
                <w:rFonts w:ascii="宋体" w:cs="宋体" w:hAnsiTheme="minorHAnsi"/>
                <w:b/>
                <w:color w:val="000000"/>
                <w:kern w:val="0"/>
                <w:szCs w:val="21"/>
              </w:rPr>
            </w:pPr>
            <w:r>
              <w:rPr>
                <w:rFonts w:hint="eastAsia" w:cs="宋体" w:asciiTheme="minorEastAsia" w:hAnsiTheme="minorEastAsia" w:eastAsiaTheme="minorEastAsia"/>
                <w:kern w:val="0"/>
                <w:szCs w:val="21"/>
                <w:lang w:bidi="ar"/>
              </w:rPr>
              <w:t>4</w:t>
            </w:r>
          </w:p>
        </w:tc>
        <w:tc>
          <w:tcPr>
            <w:tcW w:w="4961" w:type="dxa"/>
            <w:vAlign w:val="center"/>
          </w:tcPr>
          <w:p w14:paraId="37AAB1BE">
            <w:pPr>
              <w:autoSpaceDE w:val="0"/>
              <w:autoSpaceDN w:val="0"/>
              <w:adjustRightInd w:val="0"/>
              <w:spacing w:after="60" w:line="360" w:lineRule="auto"/>
              <w:jc w:val="center"/>
              <w:rPr>
                <w:rFonts w:ascii="宋体" w:cs="宋体" w:hAnsiTheme="minorHAnsi"/>
                <w:b/>
                <w:color w:val="000000"/>
                <w:kern w:val="0"/>
                <w:szCs w:val="21"/>
              </w:rPr>
            </w:pPr>
            <w:r>
              <w:rPr>
                <w:rFonts w:asciiTheme="minorEastAsia" w:hAnsiTheme="minorEastAsia" w:eastAsiaTheme="minorEastAsia"/>
                <w:bCs/>
                <w:szCs w:val="21"/>
              </w:rPr>
              <w:t>铝合金外罩</w:t>
            </w:r>
          </w:p>
        </w:tc>
        <w:tc>
          <w:tcPr>
            <w:tcW w:w="1134" w:type="dxa"/>
            <w:vAlign w:val="center"/>
          </w:tcPr>
          <w:p w14:paraId="2A719F7D">
            <w:pPr>
              <w:autoSpaceDE w:val="0"/>
              <w:autoSpaceDN w:val="0"/>
              <w:adjustRightInd w:val="0"/>
              <w:spacing w:after="60" w:line="360" w:lineRule="auto"/>
              <w:jc w:val="center"/>
              <w:rPr>
                <w:rFonts w:ascii="宋体" w:cs="宋体" w:hAnsiTheme="minorHAnsi"/>
                <w:color w:val="000000"/>
                <w:kern w:val="0"/>
                <w:szCs w:val="21"/>
              </w:rPr>
            </w:pPr>
            <w:r>
              <w:rPr>
                <w:rFonts w:hint="eastAsia" w:cs="宋体" w:asciiTheme="minorEastAsia" w:hAnsiTheme="minorEastAsia" w:eastAsiaTheme="minorEastAsia"/>
                <w:kern w:val="0"/>
                <w:szCs w:val="21"/>
                <w:lang w:bidi="ar"/>
              </w:rPr>
              <w:t>2</w:t>
            </w:r>
          </w:p>
        </w:tc>
        <w:tc>
          <w:tcPr>
            <w:tcW w:w="1270" w:type="dxa"/>
            <w:vAlign w:val="center"/>
          </w:tcPr>
          <w:p w14:paraId="6400539A">
            <w:pPr>
              <w:autoSpaceDE w:val="0"/>
              <w:autoSpaceDN w:val="0"/>
              <w:adjustRightInd w:val="0"/>
              <w:spacing w:after="60" w:line="360" w:lineRule="auto"/>
              <w:jc w:val="center"/>
              <w:rPr>
                <w:rFonts w:ascii="宋体" w:cs="宋体" w:hAnsiTheme="minorHAnsi"/>
                <w:color w:val="000000"/>
                <w:kern w:val="0"/>
                <w:szCs w:val="21"/>
              </w:rPr>
            </w:pPr>
            <w:r>
              <w:rPr>
                <w:rFonts w:hint="eastAsia" w:cs="宋体" w:asciiTheme="minorEastAsia" w:hAnsiTheme="minorEastAsia" w:eastAsiaTheme="minorEastAsia"/>
                <w:kern w:val="0"/>
                <w:szCs w:val="21"/>
                <w:lang w:bidi="ar"/>
              </w:rPr>
              <w:t>个</w:t>
            </w:r>
          </w:p>
        </w:tc>
      </w:tr>
    </w:tbl>
    <w:p w14:paraId="159CB1C3">
      <w:pPr>
        <w:autoSpaceDE w:val="0"/>
        <w:autoSpaceDN w:val="0"/>
        <w:adjustRightInd w:val="0"/>
        <w:spacing w:after="60" w:line="360" w:lineRule="auto"/>
        <w:ind w:firstLine="527" w:firstLineChars="250"/>
        <w:jc w:val="left"/>
        <w:rPr>
          <w:rFonts w:ascii="宋体" w:cs="宋体" w:hAnsiTheme="minorHAnsi"/>
          <w:b/>
          <w:color w:val="000000"/>
          <w:kern w:val="0"/>
          <w:szCs w:val="21"/>
        </w:rPr>
      </w:pPr>
      <w:r>
        <w:rPr>
          <w:rFonts w:hint="eastAsia" w:ascii="宋体" w:cs="宋体" w:hAnsiTheme="minorHAnsi"/>
          <w:b/>
          <w:color w:val="000000"/>
          <w:kern w:val="0"/>
          <w:szCs w:val="21"/>
        </w:rPr>
        <w:t>注意事项：</w:t>
      </w:r>
    </w:p>
    <w:p w14:paraId="375C4096">
      <w:pPr>
        <w:pStyle w:val="10"/>
        <w:numPr>
          <w:ilvl w:val="0"/>
          <w:numId w:val="8"/>
        </w:numPr>
        <w:autoSpaceDE w:val="0"/>
        <w:autoSpaceDN w:val="0"/>
        <w:adjustRightInd w:val="0"/>
        <w:spacing w:after="60" w:line="360" w:lineRule="auto"/>
        <w:ind w:left="0" w:firstLine="424" w:firstLineChars="202"/>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xml:space="preserve">招标人提供的清单中材料所涉及品牌或型号（如有），仅供投标人参考。投标人在投标时可以选用其它品牌，但所选用的品牌产品要在实质上相当于或不低于参照品牌技术性能的要求，并且使采购人满意。 </w:t>
      </w:r>
    </w:p>
    <w:p w14:paraId="69267D8D">
      <w:pPr>
        <w:pStyle w:val="10"/>
        <w:numPr>
          <w:ilvl w:val="0"/>
          <w:numId w:val="8"/>
        </w:numPr>
        <w:autoSpaceDE w:val="0"/>
        <w:autoSpaceDN w:val="0"/>
        <w:adjustRightInd w:val="0"/>
        <w:spacing w:after="60" w:line="360" w:lineRule="auto"/>
        <w:ind w:left="0" w:firstLine="424" w:firstLineChars="202"/>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提供相同品牌产品且通过资格审查、符合性审查的不同投标人参加同一合同项下投标的，按一家投标人计算，评审后得分最高的同品牌投标人获得中标人推荐资格;评审得分相同的，以投标报价最低的获得中标人推荐资格。</w:t>
      </w:r>
    </w:p>
    <w:p w14:paraId="04AB79DF">
      <w:pPr>
        <w:pStyle w:val="10"/>
        <w:numPr>
          <w:ilvl w:val="0"/>
          <w:numId w:val="8"/>
        </w:numPr>
        <w:autoSpaceDE w:val="0"/>
        <w:autoSpaceDN w:val="0"/>
        <w:adjustRightInd w:val="0"/>
        <w:spacing w:after="60" w:line="360" w:lineRule="auto"/>
        <w:ind w:left="0" w:firstLine="424" w:firstLineChars="202"/>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xml:space="preserve"> 非单一产品采购项目，采购人应当根据采购项目技术构成、产品价格比重等合理确定核心产品，并在招标文件中载明。多家投标人提供的核心产品品牌相同的，按第2条款规定处理。</w:t>
      </w:r>
    </w:p>
    <w:p w14:paraId="416F05DA">
      <w:pPr>
        <w:pStyle w:val="10"/>
        <w:numPr>
          <w:ilvl w:val="0"/>
          <w:numId w:val="8"/>
        </w:numPr>
        <w:autoSpaceDE w:val="0"/>
        <w:autoSpaceDN w:val="0"/>
        <w:adjustRightInd w:val="0"/>
        <w:spacing w:after="60" w:line="360" w:lineRule="auto"/>
        <w:ind w:left="0" w:firstLine="424" w:firstLineChars="202"/>
        <w:jc w:val="left"/>
        <w:rPr>
          <w:rFonts w:hint="eastAsia" w:cs="宋体" w:asciiTheme="minorEastAsia" w:hAnsiTheme="minorEastAsia"/>
          <w:color w:val="000000"/>
          <w:kern w:val="0"/>
          <w:szCs w:val="21"/>
        </w:rPr>
      </w:pPr>
      <w:r>
        <w:rPr>
          <w:rFonts w:hint="eastAsia" w:cs="宋体" w:asciiTheme="minorEastAsia" w:hAnsiTheme="minorEastAsia"/>
          <w:color w:val="000000"/>
          <w:kern w:val="0"/>
          <w:szCs w:val="21"/>
        </w:rPr>
        <w:t xml:space="preserve"> 标注 ★ 号的条款为重要技术要求，投标文件中对标注 ★ 号的条款不响应或任何的不满足（负偏离），将导致废标。</w:t>
      </w:r>
    </w:p>
    <w:p w14:paraId="5B404B9E">
      <w:pPr>
        <w:pStyle w:val="10"/>
        <w:numPr>
          <w:ilvl w:val="0"/>
          <w:numId w:val="8"/>
        </w:numPr>
        <w:autoSpaceDE w:val="0"/>
        <w:autoSpaceDN w:val="0"/>
        <w:adjustRightInd w:val="0"/>
        <w:spacing w:after="60" w:line="360" w:lineRule="auto"/>
        <w:ind w:left="0" w:firstLine="424" w:firstLineChars="202"/>
        <w:jc w:val="left"/>
      </w:pPr>
      <w:r>
        <w:rPr>
          <w:rFonts w:hint="eastAsia" w:cs="宋体" w:asciiTheme="minorEastAsia" w:hAnsiTheme="minorEastAsia"/>
          <w:color w:val="000000"/>
          <w:kern w:val="0"/>
          <w:szCs w:val="21"/>
        </w:rPr>
        <w:t xml:space="preserve"> 以下内容若有标注“▲”的条款均为非不可偏离条款，仅作为综合评分时的重要依据。 </w:t>
      </w:r>
    </w:p>
    <w:p w14:paraId="4CA1DAEB">
      <w:pPr>
        <w:spacing w:after="60" w:line="360" w:lineRule="auto"/>
        <w:rPr>
          <w:rFonts w:hint="eastAsia" w:ascii="宋体" w:hAnsi="宋体"/>
          <w:b/>
          <w:bCs/>
          <w:color w:val="000000"/>
          <w:sz w:val="24"/>
          <w:szCs w:val="32"/>
        </w:rPr>
      </w:pPr>
    </w:p>
    <w:p w14:paraId="78584023">
      <w:pPr>
        <w:pStyle w:val="2"/>
        <w:rPr>
          <w:rFonts w:ascii="宋体" w:cs="宋体" w:hAnsiTheme="minorHAnsi"/>
          <w:b/>
          <w:color w:val="000000"/>
          <w:kern w:val="0"/>
          <w:szCs w:val="21"/>
        </w:rPr>
      </w:pPr>
      <w:r>
        <w:rPr>
          <w:rFonts w:hint="eastAsia" w:ascii="宋体" w:cs="宋体" w:hAnsiTheme="minorHAnsi"/>
          <w:b/>
          <w:color w:val="000000"/>
          <w:kern w:val="0"/>
          <w:szCs w:val="21"/>
        </w:rPr>
        <w:t>（二）设备清单及参数要求：</w:t>
      </w:r>
    </w:p>
    <w:tbl>
      <w:tblPr>
        <w:tblStyle w:val="5"/>
        <w:tblW w:w="8260" w:type="dxa"/>
        <w:tblInd w:w="0" w:type="dxa"/>
        <w:tblLayout w:type="fixed"/>
        <w:tblCellMar>
          <w:top w:w="0" w:type="dxa"/>
          <w:left w:w="108" w:type="dxa"/>
          <w:bottom w:w="0" w:type="dxa"/>
          <w:right w:w="108" w:type="dxa"/>
        </w:tblCellMar>
      </w:tblPr>
      <w:tblGrid>
        <w:gridCol w:w="672"/>
        <w:gridCol w:w="7588"/>
      </w:tblGrid>
      <w:tr w14:paraId="3E7BC381">
        <w:tblPrEx>
          <w:tblCellMar>
            <w:top w:w="0" w:type="dxa"/>
            <w:left w:w="108" w:type="dxa"/>
            <w:bottom w:w="0" w:type="dxa"/>
            <w:right w:w="108" w:type="dxa"/>
          </w:tblCellMar>
        </w:tblPrEx>
        <w:trPr>
          <w:trHeight w:val="949" w:hRule="atLeast"/>
        </w:trPr>
        <w:tc>
          <w:tcPr>
            <w:tcW w:w="672" w:type="dxa"/>
            <w:tcBorders>
              <w:top w:val="single" w:color="000000" w:sz="8" w:space="0"/>
              <w:left w:val="single" w:color="000000" w:sz="8" w:space="0"/>
              <w:bottom w:val="single" w:color="000000" w:sz="8" w:space="0"/>
              <w:right w:val="single" w:color="000000" w:sz="8" w:space="0"/>
            </w:tcBorders>
            <w:vAlign w:val="center"/>
          </w:tcPr>
          <w:p w14:paraId="010688ED">
            <w:pPr>
              <w:widowControl/>
              <w:spacing w:after="60" w:line="440" w:lineRule="exact"/>
              <w:jc w:val="center"/>
              <w:textAlignment w:val="bottom"/>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货物名称</w:t>
            </w:r>
          </w:p>
        </w:tc>
        <w:tc>
          <w:tcPr>
            <w:tcW w:w="7588" w:type="dxa"/>
            <w:tcBorders>
              <w:top w:val="single" w:color="000000" w:sz="8" w:space="0"/>
              <w:left w:val="single" w:color="000000" w:sz="8" w:space="0"/>
              <w:bottom w:val="single" w:color="000000" w:sz="8" w:space="0"/>
              <w:right w:val="single" w:color="000000" w:sz="8" w:space="0"/>
            </w:tcBorders>
            <w:vAlign w:val="center"/>
          </w:tcPr>
          <w:p w14:paraId="72BFADCF">
            <w:pPr>
              <w:widowControl/>
              <w:spacing w:after="60" w:line="440" w:lineRule="exact"/>
              <w:jc w:val="center"/>
              <w:textAlignment w:val="bottom"/>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技术要求</w:t>
            </w:r>
          </w:p>
        </w:tc>
      </w:tr>
      <w:tr w14:paraId="2DBB4D40">
        <w:tblPrEx>
          <w:tblCellMar>
            <w:top w:w="0" w:type="dxa"/>
            <w:left w:w="108" w:type="dxa"/>
            <w:bottom w:w="0" w:type="dxa"/>
            <w:right w:w="108" w:type="dxa"/>
          </w:tblCellMar>
        </w:tblPrEx>
        <w:trPr>
          <w:trHeight w:val="507" w:hRule="atLeast"/>
        </w:trPr>
        <w:tc>
          <w:tcPr>
            <w:tcW w:w="672" w:type="dxa"/>
            <w:vMerge w:val="restart"/>
            <w:tcBorders>
              <w:top w:val="nil"/>
              <w:left w:val="single" w:color="000000" w:sz="8" w:space="0"/>
              <w:bottom w:val="single" w:color="000000" w:sz="8" w:space="0"/>
              <w:right w:val="single" w:color="000000" w:sz="8" w:space="0"/>
            </w:tcBorders>
            <w:vAlign w:val="center"/>
          </w:tcPr>
          <w:p w14:paraId="2D08010F">
            <w:pPr>
              <w:widowControl/>
              <w:spacing w:after="60" w:line="440" w:lineRule="exact"/>
              <w:jc w:val="center"/>
              <w:textAlignment w:val="bottom"/>
              <w:rPr>
                <w:rFonts w:hint="eastAsia"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干</w:t>
            </w:r>
          </w:p>
          <w:p w14:paraId="271D6415">
            <w:pPr>
              <w:widowControl/>
              <w:spacing w:after="60" w:line="440" w:lineRule="exact"/>
              <w:jc w:val="center"/>
              <w:textAlignment w:val="bottom"/>
              <w:rPr>
                <w:rFonts w:hint="eastAsia"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式</w:t>
            </w:r>
          </w:p>
          <w:p w14:paraId="2D9545FB">
            <w:pPr>
              <w:widowControl/>
              <w:spacing w:after="60" w:line="440" w:lineRule="exact"/>
              <w:jc w:val="center"/>
              <w:textAlignment w:val="bottom"/>
              <w:rPr>
                <w:rFonts w:hint="eastAsia"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变</w:t>
            </w:r>
          </w:p>
          <w:p w14:paraId="52AA8B8B">
            <w:pPr>
              <w:widowControl/>
              <w:spacing w:after="60" w:line="440" w:lineRule="exact"/>
              <w:jc w:val="center"/>
              <w:textAlignment w:val="bottom"/>
              <w:rPr>
                <w:rFonts w:hint="eastAsia" w:cs="宋体" w:asciiTheme="minorEastAsia" w:hAnsiTheme="minorEastAsia" w:eastAsiaTheme="minorEastAsia"/>
                <w:b/>
                <w:bCs/>
                <w:color w:val="000000"/>
                <w:kern w:val="0"/>
                <w:szCs w:val="21"/>
              </w:rPr>
            </w:pPr>
            <w:r>
              <w:rPr>
                <w:rFonts w:hint="eastAsia" w:cs="宋体" w:asciiTheme="minorEastAsia" w:hAnsiTheme="minorEastAsia" w:eastAsiaTheme="minorEastAsia"/>
                <w:b/>
                <w:bCs/>
                <w:color w:val="000000"/>
                <w:kern w:val="0"/>
                <w:szCs w:val="21"/>
              </w:rPr>
              <w:t>压</w:t>
            </w:r>
          </w:p>
          <w:p w14:paraId="73B839C5">
            <w:pPr>
              <w:widowControl/>
              <w:spacing w:after="60" w:line="440" w:lineRule="exact"/>
              <w:jc w:val="center"/>
              <w:textAlignment w:val="bottom"/>
              <w:rPr>
                <w:rFonts w:hint="eastAsia" w:cs="宋体" w:asciiTheme="minorEastAsia" w:hAnsiTheme="minorEastAsia" w:eastAsiaTheme="minorEastAsia"/>
                <w:color w:val="000000"/>
                <w:szCs w:val="21"/>
              </w:rPr>
            </w:pPr>
            <w:r>
              <w:rPr>
                <w:rFonts w:hint="eastAsia" w:cs="宋体" w:asciiTheme="minorEastAsia" w:hAnsiTheme="minorEastAsia" w:eastAsiaTheme="minorEastAsia"/>
                <w:b/>
                <w:bCs/>
                <w:color w:val="000000"/>
                <w:kern w:val="0"/>
                <w:szCs w:val="21"/>
              </w:rPr>
              <w:t>器</w:t>
            </w:r>
          </w:p>
        </w:tc>
        <w:tc>
          <w:tcPr>
            <w:tcW w:w="7588" w:type="dxa"/>
            <w:tcBorders>
              <w:top w:val="nil"/>
              <w:left w:val="single" w:color="000000" w:sz="8" w:space="0"/>
              <w:bottom w:val="single" w:color="000000" w:sz="8" w:space="0"/>
              <w:right w:val="single" w:color="000000" w:sz="8" w:space="0"/>
            </w:tcBorders>
            <w:vAlign w:val="center"/>
          </w:tcPr>
          <w:p w14:paraId="7D8D3871">
            <w:pPr>
              <w:widowControl/>
              <w:spacing w:after="60" w:line="440" w:lineRule="exact"/>
              <w:textAlignment w:val="center"/>
              <w:rPr>
                <w:rFonts w:hint="eastAsia" w:cs="宋体" w:asciiTheme="minorEastAsia" w:hAnsiTheme="minorEastAsia" w:eastAsiaTheme="minorEastAsia"/>
                <w:b/>
                <w:bCs/>
                <w:color w:val="000000"/>
                <w:szCs w:val="21"/>
              </w:rPr>
            </w:pPr>
            <w:r>
              <w:rPr>
                <w:rFonts w:cs="宋体" w:asciiTheme="minorEastAsia" w:hAnsiTheme="minorEastAsia" w:eastAsiaTheme="minorEastAsia"/>
                <w:b/>
                <w:bCs/>
                <w:color w:val="000000"/>
                <w:kern w:val="0"/>
                <w:szCs w:val="21"/>
              </w:rPr>
              <w:t>1.1</w:t>
            </w:r>
            <w:r>
              <w:rPr>
                <w:rFonts w:hint="eastAsia" w:cs="宋体" w:asciiTheme="minorEastAsia" w:hAnsiTheme="minorEastAsia" w:eastAsiaTheme="minorEastAsia"/>
                <w:b/>
                <w:bCs/>
                <w:color w:val="000000"/>
                <w:kern w:val="0"/>
                <w:szCs w:val="21"/>
              </w:rPr>
              <w:t>技术要求</w:t>
            </w:r>
          </w:p>
        </w:tc>
      </w:tr>
      <w:tr w14:paraId="4732E1FB">
        <w:tblPrEx>
          <w:tblCellMar>
            <w:top w:w="0" w:type="dxa"/>
            <w:left w:w="108" w:type="dxa"/>
            <w:bottom w:w="0" w:type="dxa"/>
            <w:right w:w="108" w:type="dxa"/>
          </w:tblCellMar>
        </w:tblPrEx>
        <w:trPr>
          <w:trHeight w:val="507" w:hRule="atLeast"/>
        </w:trPr>
        <w:tc>
          <w:tcPr>
            <w:tcW w:w="672" w:type="dxa"/>
            <w:vMerge w:val="continue"/>
            <w:tcBorders>
              <w:top w:val="nil"/>
              <w:left w:val="single" w:color="000000" w:sz="8" w:space="0"/>
              <w:bottom w:val="single" w:color="000000" w:sz="8" w:space="0"/>
              <w:right w:val="single" w:color="000000" w:sz="8" w:space="0"/>
            </w:tcBorders>
            <w:vAlign w:val="bottom"/>
          </w:tcPr>
          <w:p w14:paraId="058F5005">
            <w:pPr>
              <w:spacing w:after="60" w:line="440" w:lineRule="exact"/>
              <w:jc w:val="left"/>
              <w:rPr>
                <w:rFonts w:hint="eastAsia" w:cs="宋体" w:asciiTheme="minorEastAsia" w:hAnsiTheme="minorEastAsia" w:eastAsiaTheme="minorEastAsia"/>
                <w:color w:val="000000"/>
                <w:szCs w:val="21"/>
              </w:rPr>
            </w:pPr>
          </w:p>
        </w:tc>
        <w:tc>
          <w:tcPr>
            <w:tcW w:w="7588" w:type="dxa"/>
            <w:tcBorders>
              <w:top w:val="nil"/>
              <w:left w:val="single" w:color="000000" w:sz="8" w:space="0"/>
              <w:bottom w:val="single" w:color="000000" w:sz="8" w:space="0"/>
              <w:right w:val="single" w:color="000000" w:sz="8" w:space="0"/>
            </w:tcBorders>
            <w:vAlign w:val="center"/>
          </w:tcPr>
          <w:p w14:paraId="65FD7308">
            <w:pPr>
              <w:widowControl/>
              <w:spacing w:after="60" w:line="440" w:lineRule="exact"/>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（1）额定电压变比：10/0.4/0.23kV；</w:t>
            </w:r>
          </w:p>
        </w:tc>
      </w:tr>
      <w:tr w14:paraId="5CA91CDB">
        <w:tblPrEx>
          <w:tblCellMar>
            <w:top w:w="0" w:type="dxa"/>
            <w:left w:w="108" w:type="dxa"/>
            <w:bottom w:w="0" w:type="dxa"/>
            <w:right w:w="108" w:type="dxa"/>
          </w:tblCellMar>
        </w:tblPrEx>
        <w:trPr>
          <w:trHeight w:val="507" w:hRule="atLeast"/>
        </w:trPr>
        <w:tc>
          <w:tcPr>
            <w:tcW w:w="672" w:type="dxa"/>
            <w:vMerge w:val="continue"/>
            <w:tcBorders>
              <w:top w:val="nil"/>
              <w:left w:val="single" w:color="000000" w:sz="8" w:space="0"/>
              <w:bottom w:val="single" w:color="000000" w:sz="8" w:space="0"/>
              <w:right w:val="single" w:color="000000" w:sz="8" w:space="0"/>
            </w:tcBorders>
            <w:vAlign w:val="bottom"/>
          </w:tcPr>
          <w:p w14:paraId="06143F7E">
            <w:pPr>
              <w:spacing w:after="60" w:line="440" w:lineRule="exact"/>
              <w:jc w:val="left"/>
              <w:rPr>
                <w:rFonts w:hint="eastAsia" w:cs="宋体" w:asciiTheme="minorEastAsia" w:hAnsiTheme="minorEastAsia" w:eastAsiaTheme="minorEastAsia"/>
                <w:color w:val="000000"/>
                <w:szCs w:val="21"/>
              </w:rPr>
            </w:pPr>
          </w:p>
        </w:tc>
        <w:tc>
          <w:tcPr>
            <w:tcW w:w="7588" w:type="dxa"/>
            <w:tcBorders>
              <w:top w:val="nil"/>
              <w:left w:val="single" w:color="000000" w:sz="8" w:space="0"/>
              <w:bottom w:val="single" w:color="000000" w:sz="8" w:space="0"/>
              <w:right w:val="single" w:color="000000" w:sz="8" w:space="0"/>
            </w:tcBorders>
            <w:vAlign w:val="center"/>
          </w:tcPr>
          <w:p w14:paraId="51D46810">
            <w:pPr>
              <w:widowControl/>
              <w:spacing w:after="60" w:line="440" w:lineRule="exact"/>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（2）频率：</w:t>
            </w:r>
            <w:r>
              <w:rPr>
                <w:rFonts w:hint="eastAsia" w:asciiTheme="minorEastAsia" w:hAnsiTheme="minorEastAsia" w:eastAsiaTheme="minorEastAsia"/>
                <w:bCs/>
                <w:szCs w:val="21"/>
              </w:rPr>
              <w:t>50HZ；</w:t>
            </w:r>
          </w:p>
        </w:tc>
      </w:tr>
      <w:tr w14:paraId="7B76833E">
        <w:tblPrEx>
          <w:tblCellMar>
            <w:top w:w="0" w:type="dxa"/>
            <w:left w:w="108" w:type="dxa"/>
            <w:bottom w:w="0" w:type="dxa"/>
            <w:right w:w="108" w:type="dxa"/>
          </w:tblCellMar>
        </w:tblPrEx>
        <w:trPr>
          <w:trHeight w:val="507" w:hRule="atLeast"/>
        </w:trPr>
        <w:tc>
          <w:tcPr>
            <w:tcW w:w="672" w:type="dxa"/>
            <w:vMerge w:val="continue"/>
            <w:tcBorders>
              <w:top w:val="nil"/>
              <w:left w:val="single" w:color="000000" w:sz="8" w:space="0"/>
              <w:bottom w:val="single" w:color="000000" w:sz="8" w:space="0"/>
              <w:right w:val="single" w:color="000000" w:sz="8" w:space="0"/>
            </w:tcBorders>
            <w:vAlign w:val="bottom"/>
          </w:tcPr>
          <w:p w14:paraId="5EC4DEBD">
            <w:pPr>
              <w:spacing w:after="60" w:line="440" w:lineRule="exact"/>
              <w:jc w:val="left"/>
              <w:rPr>
                <w:rFonts w:hint="eastAsia" w:cs="宋体" w:asciiTheme="minorEastAsia" w:hAnsiTheme="minorEastAsia" w:eastAsiaTheme="minorEastAsia"/>
                <w:color w:val="000000"/>
                <w:szCs w:val="21"/>
              </w:rPr>
            </w:pPr>
          </w:p>
        </w:tc>
        <w:tc>
          <w:tcPr>
            <w:tcW w:w="7588" w:type="dxa"/>
            <w:tcBorders>
              <w:top w:val="nil"/>
              <w:left w:val="single" w:color="000000" w:sz="8" w:space="0"/>
              <w:bottom w:val="single" w:color="000000" w:sz="8" w:space="0"/>
              <w:right w:val="single" w:color="000000" w:sz="8" w:space="0"/>
            </w:tcBorders>
            <w:vAlign w:val="center"/>
          </w:tcPr>
          <w:p w14:paraId="41A1E90E">
            <w:pPr>
              <w:widowControl/>
              <w:spacing w:after="60" w:line="440" w:lineRule="exact"/>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（3）相数：三相；</w:t>
            </w:r>
          </w:p>
        </w:tc>
      </w:tr>
      <w:tr w14:paraId="2C45A302">
        <w:tblPrEx>
          <w:tblCellMar>
            <w:top w:w="0" w:type="dxa"/>
            <w:left w:w="108" w:type="dxa"/>
            <w:bottom w:w="0" w:type="dxa"/>
            <w:right w:w="108" w:type="dxa"/>
          </w:tblCellMar>
        </w:tblPrEx>
        <w:trPr>
          <w:trHeight w:val="507" w:hRule="atLeast"/>
        </w:trPr>
        <w:tc>
          <w:tcPr>
            <w:tcW w:w="672" w:type="dxa"/>
            <w:vMerge w:val="continue"/>
            <w:tcBorders>
              <w:top w:val="nil"/>
              <w:left w:val="single" w:color="000000" w:sz="8" w:space="0"/>
              <w:bottom w:val="single" w:color="000000" w:sz="8" w:space="0"/>
              <w:right w:val="single" w:color="000000" w:sz="8" w:space="0"/>
            </w:tcBorders>
            <w:vAlign w:val="bottom"/>
          </w:tcPr>
          <w:p w14:paraId="0C95D478">
            <w:pPr>
              <w:spacing w:after="60" w:line="440" w:lineRule="exact"/>
              <w:jc w:val="left"/>
              <w:rPr>
                <w:rFonts w:hint="eastAsia" w:cs="宋体" w:asciiTheme="minorEastAsia" w:hAnsiTheme="minorEastAsia" w:eastAsiaTheme="minorEastAsia"/>
                <w:color w:val="000000"/>
                <w:szCs w:val="21"/>
              </w:rPr>
            </w:pPr>
          </w:p>
        </w:tc>
        <w:tc>
          <w:tcPr>
            <w:tcW w:w="7588" w:type="dxa"/>
            <w:tcBorders>
              <w:top w:val="nil"/>
              <w:left w:val="single" w:color="000000" w:sz="8" w:space="0"/>
              <w:bottom w:val="single" w:color="000000" w:sz="8" w:space="0"/>
              <w:right w:val="single" w:color="000000" w:sz="8" w:space="0"/>
            </w:tcBorders>
            <w:vAlign w:val="center"/>
          </w:tcPr>
          <w:p w14:paraId="6B04A548">
            <w:pPr>
              <w:widowControl/>
              <w:spacing w:after="60" w:line="440" w:lineRule="exact"/>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（4）冷却方式：强制风冷；</w:t>
            </w:r>
          </w:p>
        </w:tc>
      </w:tr>
      <w:tr w14:paraId="1768C648">
        <w:tblPrEx>
          <w:tblCellMar>
            <w:top w:w="0" w:type="dxa"/>
            <w:left w:w="108" w:type="dxa"/>
            <w:bottom w:w="0" w:type="dxa"/>
            <w:right w:w="108" w:type="dxa"/>
          </w:tblCellMar>
        </w:tblPrEx>
        <w:trPr>
          <w:trHeight w:val="507" w:hRule="atLeast"/>
        </w:trPr>
        <w:tc>
          <w:tcPr>
            <w:tcW w:w="672" w:type="dxa"/>
            <w:vMerge w:val="continue"/>
            <w:tcBorders>
              <w:top w:val="nil"/>
              <w:left w:val="single" w:color="000000" w:sz="8" w:space="0"/>
              <w:bottom w:val="single" w:color="000000" w:sz="8" w:space="0"/>
              <w:right w:val="single" w:color="000000" w:sz="8" w:space="0"/>
            </w:tcBorders>
            <w:vAlign w:val="bottom"/>
          </w:tcPr>
          <w:p w14:paraId="068B5447">
            <w:pPr>
              <w:spacing w:after="60" w:line="440" w:lineRule="exact"/>
              <w:jc w:val="left"/>
              <w:rPr>
                <w:rFonts w:hint="eastAsia" w:cs="宋体" w:asciiTheme="minorEastAsia" w:hAnsiTheme="minorEastAsia" w:eastAsiaTheme="minorEastAsia"/>
                <w:color w:val="000000"/>
                <w:szCs w:val="21"/>
              </w:rPr>
            </w:pPr>
          </w:p>
        </w:tc>
        <w:tc>
          <w:tcPr>
            <w:tcW w:w="7588" w:type="dxa"/>
            <w:tcBorders>
              <w:top w:val="nil"/>
              <w:left w:val="single" w:color="000000" w:sz="8" w:space="0"/>
              <w:bottom w:val="single" w:color="000000" w:sz="8" w:space="0"/>
              <w:right w:val="single" w:color="000000" w:sz="8" w:space="0"/>
            </w:tcBorders>
            <w:vAlign w:val="center"/>
          </w:tcPr>
          <w:p w14:paraId="2A2CE563">
            <w:pPr>
              <w:widowControl/>
              <w:spacing w:after="60" w:line="440" w:lineRule="exact"/>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（5）过载能力：满足相关标准和IEC《干式变压器负载导则》要求；</w:t>
            </w:r>
          </w:p>
        </w:tc>
      </w:tr>
      <w:tr w14:paraId="1D1DA7D9">
        <w:tblPrEx>
          <w:tblCellMar>
            <w:top w:w="0" w:type="dxa"/>
            <w:left w:w="108" w:type="dxa"/>
            <w:bottom w:w="0" w:type="dxa"/>
            <w:right w:w="108" w:type="dxa"/>
          </w:tblCellMar>
        </w:tblPrEx>
        <w:trPr>
          <w:trHeight w:val="507" w:hRule="atLeast"/>
        </w:trPr>
        <w:tc>
          <w:tcPr>
            <w:tcW w:w="672" w:type="dxa"/>
            <w:vMerge w:val="continue"/>
            <w:tcBorders>
              <w:top w:val="nil"/>
              <w:left w:val="single" w:color="000000" w:sz="8" w:space="0"/>
              <w:bottom w:val="single" w:color="000000" w:sz="8" w:space="0"/>
              <w:right w:val="single" w:color="000000" w:sz="8" w:space="0"/>
            </w:tcBorders>
            <w:vAlign w:val="bottom"/>
          </w:tcPr>
          <w:p w14:paraId="298B7E4A">
            <w:pPr>
              <w:spacing w:after="60" w:line="440" w:lineRule="exact"/>
              <w:jc w:val="left"/>
              <w:rPr>
                <w:rFonts w:hint="eastAsia" w:cs="宋体" w:asciiTheme="minorEastAsia" w:hAnsiTheme="minorEastAsia" w:eastAsiaTheme="minorEastAsia"/>
                <w:color w:val="000000"/>
                <w:szCs w:val="21"/>
              </w:rPr>
            </w:pPr>
          </w:p>
        </w:tc>
        <w:tc>
          <w:tcPr>
            <w:tcW w:w="7588" w:type="dxa"/>
            <w:tcBorders>
              <w:top w:val="nil"/>
              <w:left w:val="single" w:color="000000" w:sz="8" w:space="0"/>
              <w:bottom w:val="single" w:color="000000" w:sz="8" w:space="0"/>
              <w:right w:val="single" w:color="000000" w:sz="8" w:space="0"/>
            </w:tcBorders>
            <w:vAlign w:val="center"/>
          </w:tcPr>
          <w:p w14:paraId="6778B752">
            <w:pPr>
              <w:widowControl/>
              <w:spacing w:after="60" w:line="440" w:lineRule="exact"/>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（6）使用条件：海拔＜1000米，环境温度0℃～40℃；</w:t>
            </w:r>
          </w:p>
        </w:tc>
      </w:tr>
      <w:tr w14:paraId="6C0CA5AF">
        <w:tblPrEx>
          <w:tblCellMar>
            <w:top w:w="0" w:type="dxa"/>
            <w:left w:w="108" w:type="dxa"/>
            <w:bottom w:w="0" w:type="dxa"/>
            <w:right w:w="108" w:type="dxa"/>
          </w:tblCellMar>
        </w:tblPrEx>
        <w:trPr>
          <w:trHeight w:val="507" w:hRule="atLeast"/>
        </w:trPr>
        <w:tc>
          <w:tcPr>
            <w:tcW w:w="672" w:type="dxa"/>
            <w:vMerge w:val="continue"/>
            <w:tcBorders>
              <w:top w:val="nil"/>
              <w:left w:val="single" w:color="000000" w:sz="8" w:space="0"/>
              <w:bottom w:val="single" w:color="000000" w:sz="8" w:space="0"/>
              <w:right w:val="single" w:color="000000" w:sz="8" w:space="0"/>
            </w:tcBorders>
            <w:vAlign w:val="bottom"/>
          </w:tcPr>
          <w:p w14:paraId="15BCE842">
            <w:pPr>
              <w:spacing w:after="60" w:line="440" w:lineRule="exact"/>
              <w:jc w:val="left"/>
              <w:rPr>
                <w:rFonts w:hint="eastAsia" w:cs="宋体" w:asciiTheme="minorEastAsia" w:hAnsiTheme="minorEastAsia" w:eastAsiaTheme="minorEastAsia"/>
                <w:color w:val="000000"/>
                <w:szCs w:val="21"/>
              </w:rPr>
            </w:pPr>
          </w:p>
        </w:tc>
        <w:tc>
          <w:tcPr>
            <w:tcW w:w="7588" w:type="dxa"/>
            <w:tcBorders>
              <w:top w:val="nil"/>
              <w:left w:val="single" w:color="000000" w:sz="8" w:space="0"/>
              <w:bottom w:val="single" w:color="000000" w:sz="8" w:space="0"/>
              <w:right w:val="single" w:color="000000" w:sz="8" w:space="0"/>
            </w:tcBorders>
            <w:vAlign w:val="center"/>
          </w:tcPr>
          <w:p w14:paraId="0B26D6D7">
            <w:pPr>
              <w:widowControl/>
              <w:spacing w:after="60" w:line="440" w:lineRule="exact"/>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 xml:space="preserve">（7）高压线圈额定承受雷电冲击电压： </w:t>
            </w:r>
            <w:r>
              <w:rPr>
                <w:rFonts w:hint="eastAsia" w:cs="宋体" w:asciiTheme="minorEastAsia" w:hAnsiTheme="minorEastAsia" w:eastAsiaTheme="minorEastAsia"/>
                <w:bCs/>
                <w:szCs w:val="21"/>
              </w:rPr>
              <w:t>≥</w:t>
            </w:r>
            <w:r>
              <w:rPr>
                <w:rFonts w:hint="eastAsia" w:cs="宋体" w:asciiTheme="minorEastAsia" w:hAnsiTheme="minorEastAsia" w:eastAsiaTheme="minorEastAsia"/>
                <w:color w:val="000000"/>
                <w:kern w:val="0"/>
                <w:szCs w:val="21"/>
              </w:rPr>
              <w:t>75kV；</w:t>
            </w:r>
          </w:p>
        </w:tc>
      </w:tr>
      <w:tr w14:paraId="6D3D68B5">
        <w:tblPrEx>
          <w:tblCellMar>
            <w:top w:w="0" w:type="dxa"/>
            <w:left w:w="108" w:type="dxa"/>
            <w:bottom w:w="0" w:type="dxa"/>
            <w:right w:w="108" w:type="dxa"/>
          </w:tblCellMar>
        </w:tblPrEx>
        <w:trPr>
          <w:trHeight w:val="507" w:hRule="atLeast"/>
        </w:trPr>
        <w:tc>
          <w:tcPr>
            <w:tcW w:w="672" w:type="dxa"/>
            <w:vMerge w:val="continue"/>
            <w:tcBorders>
              <w:top w:val="nil"/>
              <w:left w:val="single" w:color="000000" w:sz="8" w:space="0"/>
              <w:bottom w:val="single" w:color="000000" w:sz="8" w:space="0"/>
              <w:right w:val="single" w:color="000000" w:sz="8" w:space="0"/>
            </w:tcBorders>
            <w:vAlign w:val="bottom"/>
          </w:tcPr>
          <w:p w14:paraId="3C3D1187">
            <w:pPr>
              <w:spacing w:after="60" w:line="440" w:lineRule="exact"/>
              <w:jc w:val="left"/>
              <w:rPr>
                <w:rFonts w:hint="eastAsia" w:cs="宋体" w:asciiTheme="minorEastAsia" w:hAnsiTheme="minorEastAsia" w:eastAsiaTheme="minorEastAsia"/>
                <w:color w:val="000000"/>
                <w:szCs w:val="21"/>
              </w:rPr>
            </w:pPr>
          </w:p>
        </w:tc>
        <w:tc>
          <w:tcPr>
            <w:tcW w:w="7588" w:type="dxa"/>
            <w:tcBorders>
              <w:top w:val="nil"/>
              <w:left w:val="single" w:color="000000" w:sz="8" w:space="0"/>
              <w:bottom w:val="single" w:color="000000" w:sz="8" w:space="0"/>
              <w:right w:val="single" w:color="000000" w:sz="8" w:space="0"/>
            </w:tcBorders>
            <w:vAlign w:val="center"/>
          </w:tcPr>
          <w:p w14:paraId="0DD631B3">
            <w:pPr>
              <w:widowControl/>
              <w:spacing w:after="60" w:line="440" w:lineRule="exact"/>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（8）高压线圈额定工频耐压：</w:t>
            </w:r>
            <w:r>
              <w:rPr>
                <w:rFonts w:hint="eastAsia" w:cs="宋体" w:asciiTheme="minorEastAsia" w:hAnsiTheme="minorEastAsia" w:eastAsiaTheme="minorEastAsia"/>
                <w:bCs/>
                <w:szCs w:val="21"/>
              </w:rPr>
              <w:t>≥</w:t>
            </w:r>
            <w:r>
              <w:rPr>
                <w:rFonts w:hint="eastAsia" w:cs="宋体" w:asciiTheme="minorEastAsia" w:hAnsiTheme="minorEastAsia" w:eastAsiaTheme="minorEastAsia"/>
                <w:color w:val="000000"/>
                <w:kern w:val="0"/>
                <w:szCs w:val="21"/>
              </w:rPr>
              <w:t>35kV；</w:t>
            </w:r>
          </w:p>
        </w:tc>
      </w:tr>
      <w:tr w14:paraId="664F2E5F">
        <w:tblPrEx>
          <w:tblCellMar>
            <w:top w:w="0" w:type="dxa"/>
            <w:left w:w="108" w:type="dxa"/>
            <w:bottom w:w="0" w:type="dxa"/>
            <w:right w:w="108" w:type="dxa"/>
          </w:tblCellMar>
        </w:tblPrEx>
        <w:trPr>
          <w:trHeight w:val="507" w:hRule="atLeast"/>
        </w:trPr>
        <w:tc>
          <w:tcPr>
            <w:tcW w:w="672" w:type="dxa"/>
            <w:vMerge w:val="continue"/>
            <w:tcBorders>
              <w:top w:val="nil"/>
              <w:left w:val="single" w:color="000000" w:sz="8" w:space="0"/>
              <w:bottom w:val="single" w:color="000000" w:sz="8" w:space="0"/>
              <w:right w:val="single" w:color="000000" w:sz="8" w:space="0"/>
            </w:tcBorders>
            <w:vAlign w:val="bottom"/>
          </w:tcPr>
          <w:p w14:paraId="67E6C8EF">
            <w:pPr>
              <w:spacing w:after="60" w:line="440" w:lineRule="exact"/>
              <w:jc w:val="left"/>
              <w:rPr>
                <w:rFonts w:hint="eastAsia" w:cs="宋体" w:asciiTheme="minorEastAsia" w:hAnsiTheme="minorEastAsia" w:eastAsiaTheme="minorEastAsia"/>
                <w:color w:val="000000"/>
                <w:szCs w:val="21"/>
              </w:rPr>
            </w:pPr>
          </w:p>
        </w:tc>
        <w:tc>
          <w:tcPr>
            <w:tcW w:w="7588" w:type="dxa"/>
            <w:tcBorders>
              <w:top w:val="nil"/>
              <w:left w:val="single" w:color="000000" w:sz="8" w:space="0"/>
              <w:bottom w:val="single" w:color="000000" w:sz="8" w:space="0"/>
              <w:right w:val="single" w:color="000000" w:sz="8" w:space="0"/>
            </w:tcBorders>
            <w:vAlign w:val="center"/>
          </w:tcPr>
          <w:p w14:paraId="1BB7694B">
            <w:pPr>
              <w:widowControl/>
              <w:spacing w:after="60" w:line="440" w:lineRule="exact"/>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（9）低压线圈工频耐压：</w:t>
            </w:r>
            <w:r>
              <w:rPr>
                <w:rFonts w:hint="eastAsia" w:cs="宋体" w:asciiTheme="minorEastAsia" w:hAnsiTheme="minorEastAsia" w:eastAsiaTheme="minorEastAsia"/>
                <w:bCs/>
                <w:szCs w:val="21"/>
              </w:rPr>
              <w:t>≥</w:t>
            </w:r>
            <w:r>
              <w:rPr>
                <w:rFonts w:hint="eastAsia" w:cs="宋体" w:asciiTheme="minorEastAsia" w:hAnsiTheme="minorEastAsia" w:eastAsiaTheme="minorEastAsia"/>
                <w:color w:val="000000"/>
                <w:kern w:val="0"/>
                <w:szCs w:val="21"/>
              </w:rPr>
              <w:t>3kV；</w:t>
            </w:r>
          </w:p>
        </w:tc>
      </w:tr>
      <w:tr w14:paraId="6F3F42EC">
        <w:tblPrEx>
          <w:tblCellMar>
            <w:top w:w="0" w:type="dxa"/>
            <w:left w:w="108" w:type="dxa"/>
            <w:bottom w:w="0" w:type="dxa"/>
            <w:right w:w="108" w:type="dxa"/>
          </w:tblCellMar>
        </w:tblPrEx>
        <w:trPr>
          <w:trHeight w:val="507" w:hRule="atLeast"/>
        </w:trPr>
        <w:tc>
          <w:tcPr>
            <w:tcW w:w="672" w:type="dxa"/>
            <w:vMerge w:val="continue"/>
            <w:tcBorders>
              <w:top w:val="nil"/>
              <w:left w:val="single" w:color="000000" w:sz="8" w:space="0"/>
              <w:bottom w:val="single" w:color="000000" w:sz="8" w:space="0"/>
              <w:right w:val="single" w:color="000000" w:sz="8" w:space="0"/>
            </w:tcBorders>
            <w:vAlign w:val="bottom"/>
          </w:tcPr>
          <w:p w14:paraId="06B2E156">
            <w:pPr>
              <w:spacing w:after="60" w:line="440" w:lineRule="exact"/>
              <w:jc w:val="left"/>
              <w:rPr>
                <w:rFonts w:hint="eastAsia" w:cs="宋体" w:asciiTheme="minorEastAsia" w:hAnsiTheme="minorEastAsia" w:eastAsiaTheme="minorEastAsia"/>
                <w:color w:val="000000"/>
                <w:szCs w:val="21"/>
              </w:rPr>
            </w:pPr>
          </w:p>
        </w:tc>
        <w:tc>
          <w:tcPr>
            <w:tcW w:w="7588" w:type="dxa"/>
            <w:tcBorders>
              <w:top w:val="nil"/>
              <w:left w:val="single" w:color="000000" w:sz="8" w:space="0"/>
              <w:bottom w:val="single" w:color="000000" w:sz="8" w:space="0"/>
              <w:right w:val="single" w:color="000000" w:sz="8" w:space="0"/>
            </w:tcBorders>
            <w:vAlign w:val="center"/>
          </w:tcPr>
          <w:p w14:paraId="177B4629">
            <w:pPr>
              <w:widowControl/>
              <w:spacing w:after="60" w:line="440" w:lineRule="exact"/>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（10）低压线圈额定承受雷电冲击电压：</w:t>
            </w:r>
            <w:r>
              <w:rPr>
                <w:rFonts w:hint="eastAsia" w:cs="宋体" w:asciiTheme="minorEastAsia" w:hAnsiTheme="minorEastAsia" w:eastAsiaTheme="minorEastAsia"/>
                <w:bCs/>
                <w:szCs w:val="21"/>
              </w:rPr>
              <w:t>≥</w:t>
            </w:r>
            <w:r>
              <w:rPr>
                <w:rFonts w:hint="eastAsia" w:cs="宋体" w:asciiTheme="minorEastAsia" w:hAnsiTheme="minorEastAsia" w:eastAsiaTheme="minorEastAsia"/>
                <w:color w:val="000000"/>
                <w:kern w:val="0"/>
                <w:szCs w:val="21"/>
              </w:rPr>
              <w:t>10kV；</w:t>
            </w:r>
          </w:p>
        </w:tc>
      </w:tr>
      <w:tr w14:paraId="4DFA6A21">
        <w:tblPrEx>
          <w:tblCellMar>
            <w:top w:w="0" w:type="dxa"/>
            <w:left w:w="108" w:type="dxa"/>
            <w:bottom w:w="0" w:type="dxa"/>
            <w:right w:w="108" w:type="dxa"/>
          </w:tblCellMar>
        </w:tblPrEx>
        <w:trPr>
          <w:trHeight w:val="708" w:hRule="atLeast"/>
        </w:trPr>
        <w:tc>
          <w:tcPr>
            <w:tcW w:w="672" w:type="dxa"/>
            <w:vMerge w:val="continue"/>
            <w:tcBorders>
              <w:top w:val="nil"/>
              <w:left w:val="single" w:color="000000" w:sz="8" w:space="0"/>
              <w:bottom w:val="single" w:color="000000" w:sz="8" w:space="0"/>
              <w:right w:val="single" w:color="000000" w:sz="8" w:space="0"/>
            </w:tcBorders>
            <w:vAlign w:val="bottom"/>
          </w:tcPr>
          <w:p w14:paraId="68F74221">
            <w:pPr>
              <w:spacing w:after="60" w:line="440" w:lineRule="exact"/>
              <w:jc w:val="left"/>
              <w:rPr>
                <w:rFonts w:hint="eastAsia" w:cs="宋体" w:asciiTheme="minorEastAsia" w:hAnsiTheme="minorEastAsia" w:eastAsiaTheme="minorEastAsia"/>
                <w:color w:val="000000"/>
                <w:szCs w:val="21"/>
              </w:rPr>
            </w:pPr>
          </w:p>
        </w:tc>
        <w:tc>
          <w:tcPr>
            <w:tcW w:w="7588" w:type="dxa"/>
            <w:tcBorders>
              <w:top w:val="nil"/>
              <w:left w:val="single" w:color="000000" w:sz="8" w:space="0"/>
              <w:bottom w:val="single" w:color="000000" w:sz="8" w:space="0"/>
              <w:right w:val="single" w:color="000000" w:sz="8" w:space="0"/>
            </w:tcBorders>
            <w:vAlign w:val="center"/>
          </w:tcPr>
          <w:p w14:paraId="70B0E97E">
            <w:pPr>
              <w:widowControl/>
              <w:spacing w:after="60" w:line="440" w:lineRule="exact"/>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（11）局放≤10PC（要求提供型式试验报告），接线方式：D，Yn11；</w:t>
            </w:r>
          </w:p>
        </w:tc>
      </w:tr>
      <w:tr w14:paraId="745B6432">
        <w:tblPrEx>
          <w:tblCellMar>
            <w:top w:w="0" w:type="dxa"/>
            <w:left w:w="108" w:type="dxa"/>
            <w:bottom w:w="0" w:type="dxa"/>
            <w:right w:w="108" w:type="dxa"/>
          </w:tblCellMar>
        </w:tblPrEx>
        <w:trPr>
          <w:trHeight w:val="1413" w:hRule="atLeast"/>
        </w:trPr>
        <w:tc>
          <w:tcPr>
            <w:tcW w:w="672" w:type="dxa"/>
            <w:vMerge w:val="continue"/>
            <w:tcBorders>
              <w:top w:val="nil"/>
              <w:left w:val="single" w:color="000000" w:sz="8" w:space="0"/>
              <w:bottom w:val="single" w:color="000000" w:sz="8" w:space="0"/>
              <w:right w:val="single" w:color="000000" w:sz="8" w:space="0"/>
            </w:tcBorders>
            <w:vAlign w:val="bottom"/>
          </w:tcPr>
          <w:p w14:paraId="1AC6486F">
            <w:pPr>
              <w:spacing w:after="60" w:line="440" w:lineRule="exact"/>
              <w:jc w:val="left"/>
              <w:rPr>
                <w:rFonts w:hint="eastAsia" w:cs="宋体" w:asciiTheme="minorEastAsia" w:hAnsiTheme="minorEastAsia" w:eastAsiaTheme="minorEastAsia"/>
                <w:color w:val="000000"/>
                <w:szCs w:val="21"/>
              </w:rPr>
            </w:pPr>
          </w:p>
        </w:tc>
        <w:tc>
          <w:tcPr>
            <w:tcW w:w="7588" w:type="dxa"/>
            <w:tcBorders>
              <w:top w:val="nil"/>
              <w:left w:val="single" w:color="000000" w:sz="8" w:space="0"/>
              <w:bottom w:val="single" w:color="000000" w:sz="8" w:space="0"/>
              <w:right w:val="single" w:color="000000" w:sz="8" w:space="0"/>
            </w:tcBorders>
            <w:vAlign w:val="center"/>
          </w:tcPr>
          <w:p w14:paraId="43D59900">
            <w:pPr>
              <w:widowControl/>
              <w:spacing w:after="60" w:line="440" w:lineRule="exact"/>
              <w:textAlignment w:val="center"/>
              <w:rPr>
                <w:rFonts w:hint="eastAsia" w:cs="宋体" w:asciiTheme="minorEastAsia" w:hAnsiTheme="minorEastAsia" w:eastAsiaTheme="minorEastAsia"/>
                <w:b/>
                <w:bCs/>
                <w:color w:val="FF0000"/>
                <w:szCs w:val="21"/>
              </w:rPr>
            </w:pPr>
            <w:r>
              <w:rPr>
                <w:rFonts w:hint="eastAsia" w:cs="宋体" w:asciiTheme="minorEastAsia" w:hAnsiTheme="minorEastAsia" w:eastAsiaTheme="minorEastAsia"/>
                <w:color w:val="000000"/>
                <w:kern w:val="0"/>
                <w:szCs w:val="21"/>
              </w:rPr>
              <w:t>▲（12）阻抗电压：Ud＝6％（误差不大于±10%）（提供厂家出具的产品说明书或提供第三方具备检测资质的机构出具的加注CMA或CNAS标识的检验检测报告）</w:t>
            </w:r>
          </w:p>
        </w:tc>
      </w:tr>
      <w:tr w14:paraId="256EE115">
        <w:tblPrEx>
          <w:tblCellMar>
            <w:top w:w="0" w:type="dxa"/>
            <w:left w:w="108" w:type="dxa"/>
            <w:bottom w:w="0" w:type="dxa"/>
            <w:right w:w="108" w:type="dxa"/>
          </w:tblCellMar>
        </w:tblPrEx>
        <w:trPr>
          <w:trHeight w:val="951" w:hRule="atLeast"/>
        </w:trPr>
        <w:tc>
          <w:tcPr>
            <w:tcW w:w="672" w:type="dxa"/>
            <w:vMerge w:val="continue"/>
            <w:tcBorders>
              <w:top w:val="nil"/>
              <w:left w:val="single" w:color="000000" w:sz="8" w:space="0"/>
              <w:bottom w:val="single" w:color="000000" w:sz="8" w:space="0"/>
              <w:right w:val="single" w:color="000000" w:sz="8" w:space="0"/>
            </w:tcBorders>
            <w:vAlign w:val="bottom"/>
          </w:tcPr>
          <w:p w14:paraId="711FD224">
            <w:pPr>
              <w:spacing w:after="60" w:line="440" w:lineRule="exact"/>
              <w:jc w:val="left"/>
              <w:rPr>
                <w:rFonts w:hint="eastAsia" w:cs="宋体" w:asciiTheme="minorEastAsia" w:hAnsiTheme="minorEastAsia" w:eastAsiaTheme="minorEastAsia"/>
                <w:color w:val="000000"/>
                <w:szCs w:val="21"/>
              </w:rPr>
            </w:pPr>
          </w:p>
        </w:tc>
        <w:tc>
          <w:tcPr>
            <w:tcW w:w="7588" w:type="dxa"/>
            <w:tcBorders>
              <w:top w:val="nil"/>
              <w:left w:val="single" w:color="000000" w:sz="8" w:space="0"/>
              <w:bottom w:val="single" w:color="000000" w:sz="8" w:space="0"/>
              <w:right w:val="single" w:color="000000" w:sz="8" w:space="0"/>
            </w:tcBorders>
            <w:vAlign w:val="center"/>
          </w:tcPr>
          <w:p w14:paraId="6CCD9235">
            <w:pPr>
              <w:widowControl/>
              <w:spacing w:after="60" w:line="440" w:lineRule="exact"/>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（13）耐地震能力：地面水平加速度0.2g；垂直加速度0.1g同时作用。安全系数不小于1.67。</w:t>
            </w:r>
          </w:p>
        </w:tc>
      </w:tr>
      <w:tr w14:paraId="6892AF66">
        <w:tblPrEx>
          <w:tblCellMar>
            <w:top w:w="0" w:type="dxa"/>
            <w:left w:w="108" w:type="dxa"/>
            <w:bottom w:w="0" w:type="dxa"/>
            <w:right w:w="108" w:type="dxa"/>
          </w:tblCellMar>
        </w:tblPrEx>
        <w:trPr>
          <w:trHeight w:val="951" w:hRule="atLeast"/>
        </w:trPr>
        <w:tc>
          <w:tcPr>
            <w:tcW w:w="672" w:type="dxa"/>
            <w:vMerge w:val="continue"/>
            <w:tcBorders>
              <w:top w:val="nil"/>
              <w:left w:val="single" w:color="000000" w:sz="8" w:space="0"/>
              <w:bottom w:val="single" w:color="000000" w:sz="8" w:space="0"/>
              <w:right w:val="single" w:color="000000" w:sz="8" w:space="0"/>
            </w:tcBorders>
            <w:vAlign w:val="bottom"/>
          </w:tcPr>
          <w:p w14:paraId="29BDB6C6">
            <w:pPr>
              <w:spacing w:after="60" w:line="440" w:lineRule="exact"/>
              <w:jc w:val="left"/>
              <w:rPr>
                <w:rFonts w:hint="eastAsia" w:cs="宋体" w:asciiTheme="minorEastAsia" w:hAnsiTheme="minorEastAsia" w:eastAsiaTheme="minorEastAsia"/>
                <w:color w:val="000000"/>
                <w:szCs w:val="21"/>
              </w:rPr>
            </w:pPr>
          </w:p>
        </w:tc>
        <w:tc>
          <w:tcPr>
            <w:tcW w:w="7588" w:type="dxa"/>
            <w:tcBorders>
              <w:top w:val="nil"/>
              <w:left w:val="single" w:color="000000" w:sz="8" w:space="0"/>
              <w:bottom w:val="single" w:color="000000" w:sz="8" w:space="0"/>
              <w:right w:val="single" w:color="000000" w:sz="8" w:space="0"/>
            </w:tcBorders>
            <w:vAlign w:val="center"/>
          </w:tcPr>
          <w:p w14:paraId="6E19A318">
            <w:pPr>
              <w:widowControl/>
              <w:spacing w:after="60" w:line="440" w:lineRule="exact"/>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（14）分接头：高压侧装+5.0%,+2.5%,0,-2.5%,-5.0%  五位空载分接头变换器，并有明确的分接位置指示；</w:t>
            </w:r>
          </w:p>
        </w:tc>
      </w:tr>
      <w:tr w14:paraId="59E61D19">
        <w:tblPrEx>
          <w:tblCellMar>
            <w:top w:w="0" w:type="dxa"/>
            <w:left w:w="108" w:type="dxa"/>
            <w:bottom w:w="0" w:type="dxa"/>
            <w:right w:w="108" w:type="dxa"/>
          </w:tblCellMar>
        </w:tblPrEx>
        <w:trPr>
          <w:trHeight w:val="507" w:hRule="atLeast"/>
        </w:trPr>
        <w:tc>
          <w:tcPr>
            <w:tcW w:w="672" w:type="dxa"/>
            <w:vMerge w:val="continue"/>
            <w:tcBorders>
              <w:top w:val="nil"/>
              <w:left w:val="single" w:color="000000" w:sz="8" w:space="0"/>
              <w:bottom w:val="single" w:color="000000" w:sz="8" w:space="0"/>
              <w:right w:val="single" w:color="000000" w:sz="8" w:space="0"/>
            </w:tcBorders>
            <w:vAlign w:val="bottom"/>
          </w:tcPr>
          <w:p w14:paraId="5E5FDA9B">
            <w:pPr>
              <w:spacing w:after="60" w:line="440" w:lineRule="exact"/>
              <w:jc w:val="left"/>
              <w:rPr>
                <w:rFonts w:hint="eastAsia" w:cs="宋体" w:asciiTheme="minorEastAsia" w:hAnsiTheme="minorEastAsia" w:eastAsiaTheme="minorEastAsia"/>
                <w:color w:val="000000"/>
                <w:szCs w:val="21"/>
              </w:rPr>
            </w:pPr>
          </w:p>
        </w:tc>
        <w:tc>
          <w:tcPr>
            <w:tcW w:w="7588" w:type="dxa"/>
            <w:tcBorders>
              <w:top w:val="nil"/>
              <w:left w:val="single" w:color="000000" w:sz="8" w:space="0"/>
              <w:bottom w:val="single" w:color="000000" w:sz="8" w:space="0"/>
              <w:right w:val="single" w:color="000000" w:sz="8" w:space="0"/>
            </w:tcBorders>
            <w:vAlign w:val="center"/>
          </w:tcPr>
          <w:p w14:paraId="1E52647F">
            <w:pPr>
              <w:widowControl/>
              <w:spacing w:after="60" w:line="440" w:lineRule="exact"/>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（15）绝缘等级：</w:t>
            </w:r>
            <w:r>
              <w:rPr>
                <w:rFonts w:hint="eastAsia" w:cs="宋体" w:asciiTheme="minorEastAsia" w:hAnsiTheme="minorEastAsia" w:eastAsiaTheme="minorEastAsia"/>
                <w:bCs/>
                <w:szCs w:val="21"/>
              </w:rPr>
              <w:t>≥</w:t>
            </w:r>
            <w:r>
              <w:rPr>
                <w:rFonts w:hint="eastAsia" w:cs="宋体" w:asciiTheme="minorEastAsia" w:hAnsiTheme="minorEastAsia" w:eastAsiaTheme="minorEastAsia"/>
                <w:color w:val="000000"/>
                <w:kern w:val="0"/>
                <w:szCs w:val="21"/>
              </w:rPr>
              <w:t>F级；</w:t>
            </w:r>
          </w:p>
        </w:tc>
      </w:tr>
      <w:tr w14:paraId="5FED963D">
        <w:tblPrEx>
          <w:tblCellMar>
            <w:top w:w="0" w:type="dxa"/>
            <w:left w:w="108" w:type="dxa"/>
            <w:bottom w:w="0" w:type="dxa"/>
            <w:right w:w="108" w:type="dxa"/>
          </w:tblCellMar>
        </w:tblPrEx>
        <w:trPr>
          <w:trHeight w:val="507" w:hRule="atLeast"/>
        </w:trPr>
        <w:tc>
          <w:tcPr>
            <w:tcW w:w="672" w:type="dxa"/>
            <w:vMerge w:val="continue"/>
            <w:tcBorders>
              <w:top w:val="nil"/>
              <w:left w:val="single" w:color="000000" w:sz="8" w:space="0"/>
              <w:bottom w:val="single" w:color="000000" w:sz="8" w:space="0"/>
              <w:right w:val="single" w:color="000000" w:sz="8" w:space="0"/>
            </w:tcBorders>
            <w:vAlign w:val="bottom"/>
          </w:tcPr>
          <w:p w14:paraId="6BF7346D">
            <w:pPr>
              <w:spacing w:after="60" w:line="440" w:lineRule="exact"/>
              <w:jc w:val="left"/>
              <w:rPr>
                <w:rFonts w:hint="eastAsia" w:cs="宋体" w:asciiTheme="minorEastAsia" w:hAnsiTheme="minorEastAsia" w:eastAsiaTheme="minorEastAsia"/>
                <w:color w:val="000000"/>
                <w:szCs w:val="21"/>
              </w:rPr>
            </w:pPr>
          </w:p>
        </w:tc>
        <w:tc>
          <w:tcPr>
            <w:tcW w:w="7588" w:type="dxa"/>
            <w:tcBorders>
              <w:top w:val="nil"/>
              <w:left w:val="single" w:color="000000" w:sz="8" w:space="0"/>
              <w:bottom w:val="single" w:color="000000" w:sz="8" w:space="0"/>
              <w:right w:val="single" w:color="000000" w:sz="8" w:space="0"/>
            </w:tcBorders>
            <w:vAlign w:val="center"/>
          </w:tcPr>
          <w:p w14:paraId="05A32C77">
            <w:pPr>
              <w:widowControl/>
              <w:spacing w:after="60" w:line="440" w:lineRule="exact"/>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（16）噪声水平：不超过55dB；</w:t>
            </w:r>
          </w:p>
        </w:tc>
      </w:tr>
      <w:tr w14:paraId="266E8A96">
        <w:tblPrEx>
          <w:tblCellMar>
            <w:top w:w="0" w:type="dxa"/>
            <w:left w:w="108" w:type="dxa"/>
            <w:bottom w:w="0" w:type="dxa"/>
            <w:right w:w="108" w:type="dxa"/>
          </w:tblCellMar>
        </w:tblPrEx>
        <w:trPr>
          <w:trHeight w:val="951" w:hRule="atLeast"/>
        </w:trPr>
        <w:tc>
          <w:tcPr>
            <w:tcW w:w="672" w:type="dxa"/>
            <w:vMerge w:val="continue"/>
            <w:tcBorders>
              <w:top w:val="nil"/>
              <w:left w:val="single" w:color="000000" w:sz="8" w:space="0"/>
              <w:bottom w:val="single" w:color="000000" w:sz="8" w:space="0"/>
              <w:right w:val="single" w:color="000000" w:sz="8" w:space="0"/>
            </w:tcBorders>
            <w:vAlign w:val="bottom"/>
          </w:tcPr>
          <w:p w14:paraId="38A9872A">
            <w:pPr>
              <w:spacing w:after="60" w:line="440" w:lineRule="exact"/>
              <w:jc w:val="left"/>
              <w:rPr>
                <w:rFonts w:hint="eastAsia" w:cs="宋体" w:asciiTheme="minorEastAsia" w:hAnsiTheme="minorEastAsia" w:eastAsiaTheme="minorEastAsia"/>
                <w:color w:val="000000"/>
                <w:szCs w:val="21"/>
              </w:rPr>
            </w:pPr>
          </w:p>
        </w:tc>
        <w:tc>
          <w:tcPr>
            <w:tcW w:w="7588" w:type="dxa"/>
            <w:tcBorders>
              <w:top w:val="nil"/>
              <w:left w:val="single" w:color="000000" w:sz="8" w:space="0"/>
              <w:bottom w:val="single" w:color="000000" w:sz="8" w:space="0"/>
              <w:right w:val="single" w:color="000000" w:sz="8" w:space="0"/>
            </w:tcBorders>
            <w:vAlign w:val="center"/>
          </w:tcPr>
          <w:p w14:paraId="5AB32A67">
            <w:pPr>
              <w:widowControl/>
              <w:spacing w:after="60" w:line="440" w:lineRule="exact"/>
              <w:jc w:val="left"/>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（17）损耗：负载损耗：额定电压、额定容量、功率因数0.85（滞后）工况下，不大于输入功率的1%。</w:t>
            </w:r>
          </w:p>
        </w:tc>
      </w:tr>
      <w:tr w14:paraId="34D8B211">
        <w:tblPrEx>
          <w:tblCellMar>
            <w:top w:w="0" w:type="dxa"/>
            <w:left w:w="108" w:type="dxa"/>
            <w:bottom w:w="0" w:type="dxa"/>
            <w:right w:w="108" w:type="dxa"/>
          </w:tblCellMar>
        </w:tblPrEx>
        <w:trPr>
          <w:trHeight w:val="507" w:hRule="atLeast"/>
        </w:trPr>
        <w:tc>
          <w:tcPr>
            <w:tcW w:w="672" w:type="dxa"/>
            <w:vMerge w:val="continue"/>
            <w:tcBorders>
              <w:top w:val="nil"/>
              <w:left w:val="single" w:color="000000" w:sz="8" w:space="0"/>
              <w:bottom w:val="single" w:color="000000" w:sz="8" w:space="0"/>
              <w:right w:val="single" w:color="000000" w:sz="8" w:space="0"/>
            </w:tcBorders>
            <w:vAlign w:val="bottom"/>
          </w:tcPr>
          <w:p w14:paraId="79C755CF">
            <w:pPr>
              <w:spacing w:after="60" w:line="440" w:lineRule="exact"/>
              <w:jc w:val="left"/>
              <w:rPr>
                <w:rFonts w:hint="eastAsia" w:cs="宋体" w:asciiTheme="minorEastAsia" w:hAnsiTheme="minorEastAsia" w:eastAsiaTheme="minorEastAsia"/>
                <w:color w:val="000000"/>
                <w:szCs w:val="21"/>
              </w:rPr>
            </w:pPr>
          </w:p>
        </w:tc>
        <w:tc>
          <w:tcPr>
            <w:tcW w:w="7588" w:type="dxa"/>
            <w:tcBorders>
              <w:top w:val="nil"/>
              <w:left w:val="single" w:color="000000" w:sz="8" w:space="0"/>
              <w:bottom w:val="single" w:color="000000" w:sz="8" w:space="0"/>
              <w:right w:val="single" w:color="000000" w:sz="8" w:space="0"/>
            </w:tcBorders>
            <w:vAlign w:val="center"/>
          </w:tcPr>
          <w:p w14:paraId="6F33E4AD">
            <w:pPr>
              <w:widowControl/>
              <w:spacing w:after="60" w:line="440" w:lineRule="exact"/>
              <w:jc w:val="left"/>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（18）进出线方式：</w:t>
            </w:r>
            <w:r>
              <w:rPr>
                <w:rFonts w:cs="宋体" w:asciiTheme="minorEastAsia" w:hAnsiTheme="minorEastAsia" w:eastAsiaTheme="minorEastAsia"/>
                <w:color w:val="000000"/>
                <w:kern w:val="0"/>
                <w:szCs w:val="21"/>
              </w:rPr>
              <w:t>满足场地条件</w:t>
            </w:r>
          </w:p>
        </w:tc>
      </w:tr>
      <w:tr w14:paraId="4999EA57">
        <w:tblPrEx>
          <w:tblCellMar>
            <w:top w:w="0" w:type="dxa"/>
            <w:left w:w="108" w:type="dxa"/>
            <w:bottom w:w="0" w:type="dxa"/>
            <w:right w:w="108" w:type="dxa"/>
          </w:tblCellMar>
        </w:tblPrEx>
        <w:trPr>
          <w:trHeight w:val="1395" w:hRule="atLeast"/>
        </w:trPr>
        <w:tc>
          <w:tcPr>
            <w:tcW w:w="672" w:type="dxa"/>
            <w:vMerge w:val="continue"/>
            <w:tcBorders>
              <w:top w:val="nil"/>
              <w:left w:val="single" w:color="000000" w:sz="8" w:space="0"/>
              <w:bottom w:val="single" w:color="000000" w:sz="8" w:space="0"/>
              <w:right w:val="single" w:color="000000" w:sz="8" w:space="0"/>
            </w:tcBorders>
            <w:vAlign w:val="bottom"/>
          </w:tcPr>
          <w:p w14:paraId="7833FB55">
            <w:pPr>
              <w:spacing w:after="60" w:line="440" w:lineRule="exact"/>
              <w:jc w:val="left"/>
              <w:rPr>
                <w:rFonts w:hint="eastAsia" w:cs="宋体" w:asciiTheme="minorEastAsia" w:hAnsiTheme="minorEastAsia" w:eastAsiaTheme="minorEastAsia"/>
                <w:color w:val="000000"/>
                <w:szCs w:val="21"/>
              </w:rPr>
            </w:pPr>
          </w:p>
        </w:tc>
        <w:tc>
          <w:tcPr>
            <w:tcW w:w="7588" w:type="dxa"/>
            <w:tcBorders>
              <w:top w:val="nil"/>
              <w:left w:val="single" w:color="000000" w:sz="8" w:space="0"/>
              <w:bottom w:val="single" w:color="000000" w:sz="8" w:space="0"/>
              <w:right w:val="single" w:color="000000" w:sz="8" w:space="0"/>
            </w:tcBorders>
            <w:vAlign w:val="center"/>
          </w:tcPr>
          <w:p w14:paraId="7D3DDED1">
            <w:pPr>
              <w:widowControl/>
              <w:spacing w:after="60" w:line="440" w:lineRule="exact"/>
              <w:textAlignment w:val="center"/>
              <w:rPr>
                <w:rFonts w:hint="eastAsia" w:cs="宋体" w:asciiTheme="minorEastAsia" w:hAnsiTheme="minorEastAsia" w:eastAsiaTheme="minorEastAsia"/>
                <w:b/>
                <w:bCs/>
                <w:color w:val="FF0000"/>
                <w:szCs w:val="21"/>
              </w:rPr>
            </w:pPr>
            <w:r>
              <w:rPr>
                <w:rFonts w:hint="eastAsia" w:cs="宋体" w:asciiTheme="minorEastAsia" w:hAnsiTheme="minorEastAsia" w:eastAsiaTheme="minorEastAsia"/>
                <w:color w:val="000000"/>
                <w:kern w:val="0"/>
                <w:szCs w:val="21"/>
              </w:rPr>
              <w:t>▲（19）线圈材料：两组线圈均为铜导体；（提供厂家出具的产品说明书或提供第三方具备检测资质的机构出具的加注CMA或CNAS标识的检验检测报告）</w:t>
            </w:r>
          </w:p>
        </w:tc>
      </w:tr>
      <w:tr w14:paraId="2EA8A0D4">
        <w:tblPrEx>
          <w:tblCellMar>
            <w:top w:w="0" w:type="dxa"/>
            <w:left w:w="108" w:type="dxa"/>
            <w:bottom w:w="0" w:type="dxa"/>
            <w:right w:w="108" w:type="dxa"/>
          </w:tblCellMar>
        </w:tblPrEx>
        <w:trPr>
          <w:trHeight w:val="507" w:hRule="atLeast"/>
        </w:trPr>
        <w:tc>
          <w:tcPr>
            <w:tcW w:w="672" w:type="dxa"/>
            <w:vMerge w:val="continue"/>
            <w:tcBorders>
              <w:top w:val="nil"/>
              <w:left w:val="single" w:color="000000" w:sz="8" w:space="0"/>
              <w:bottom w:val="single" w:color="000000" w:sz="8" w:space="0"/>
              <w:right w:val="single" w:color="000000" w:sz="8" w:space="0"/>
            </w:tcBorders>
            <w:vAlign w:val="bottom"/>
          </w:tcPr>
          <w:p w14:paraId="30BFF388">
            <w:pPr>
              <w:spacing w:after="60" w:line="440" w:lineRule="exact"/>
              <w:jc w:val="left"/>
              <w:rPr>
                <w:rFonts w:hint="eastAsia" w:cs="宋体" w:asciiTheme="minorEastAsia" w:hAnsiTheme="minorEastAsia" w:eastAsiaTheme="minorEastAsia"/>
                <w:color w:val="000000"/>
                <w:szCs w:val="21"/>
              </w:rPr>
            </w:pPr>
          </w:p>
        </w:tc>
        <w:tc>
          <w:tcPr>
            <w:tcW w:w="7588" w:type="dxa"/>
            <w:tcBorders>
              <w:top w:val="nil"/>
              <w:left w:val="single" w:color="000000" w:sz="8" w:space="0"/>
              <w:bottom w:val="single" w:color="000000" w:sz="8" w:space="0"/>
              <w:right w:val="single" w:color="000000" w:sz="8" w:space="0"/>
            </w:tcBorders>
            <w:vAlign w:val="center"/>
          </w:tcPr>
          <w:p w14:paraId="4EEE7FC6">
            <w:pPr>
              <w:widowControl/>
              <w:spacing w:after="60" w:line="440" w:lineRule="exact"/>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（20）变压器外壳防护等级</w:t>
            </w:r>
            <w:r>
              <w:rPr>
                <w:rFonts w:cs="宋体" w:asciiTheme="minorEastAsia" w:hAnsiTheme="minorEastAsia" w:eastAsiaTheme="minorEastAsia"/>
                <w:color w:val="000000"/>
                <w:kern w:val="0"/>
                <w:szCs w:val="21"/>
              </w:rPr>
              <w:t>：</w:t>
            </w:r>
            <w:r>
              <w:rPr>
                <w:rFonts w:hint="eastAsia" w:cs="宋体" w:asciiTheme="minorEastAsia" w:hAnsiTheme="minorEastAsia" w:eastAsiaTheme="minorEastAsia"/>
                <w:color w:val="000000"/>
                <w:kern w:val="0"/>
                <w:szCs w:val="21"/>
              </w:rPr>
              <w:t>IP30及以上</w:t>
            </w:r>
          </w:p>
        </w:tc>
      </w:tr>
      <w:tr w14:paraId="7C1839F4">
        <w:tblPrEx>
          <w:tblCellMar>
            <w:top w:w="0" w:type="dxa"/>
            <w:left w:w="108" w:type="dxa"/>
            <w:bottom w:w="0" w:type="dxa"/>
            <w:right w:w="108" w:type="dxa"/>
          </w:tblCellMar>
        </w:tblPrEx>
        <w:trPr>
          <w:trHeight w:val="951" w:hRule="atLeast"/>
        </w:trPr>
        <w:tc>
          <w:tcPr>
            <w:tcW w:w="672" w:type="dxa"/>
            <w:vMerge w:val="continue"/>
            <w:tcBorders>
              <w:top w:val="nil"/>
              <w:left w:val="single" w:color="000000" w:sz="8" w:space="0"/>
              <w:bottom w:val="single" w:color="000000" w:sz="8" w:space="0"/>
              <w:right w:val="single" w:color="000000" w:sz="8" w:space="0"/>
            </w:tcBorders>
            <w:vAlign w:val="bottom"/>
          </w:tcPr>
          <w:p w14:paraId="162EACF3">
            <w:pPr>
              <w:spacing w:after="60" w:line="440" w:lineRule="exact"/>
              <w:jc w:val="left"/>
              <w:rPr>
                <w:rFonts w:hint="eastAsia" w:cs="宋体" w:asciiTheme="minorEastAsia" w:hAnsiTheme="minorEastAsia" w:eastAsiaTheme="minorEastAsia"/>
                <w:color w:val="000000"/>
                <w:szCs w:val="21"/>
              </w:rPr>
            </w:pPr>
          </w:p>
        </w:tc>
        <w:tc>
          <w:tcPr>
            <w:tcW w:w="7588" w:type="dxa"/>
            <w:tcBorders>
              <w:top w:val="nil"/>
              <w:left w:val="single" w:color="000000" w:sz="8" w:space="0"/>
              <w:bottom w:val="single" w:color="000000" w:sz="8" w:space="0"/>
              <w:right w:val="single" w:color="000000" w:sz="8" w:space="0"/>
            </w:tcBorders>
            <w:vAlign w:val="center"/>
          </w:tcPr>
          <w:p w14:paraId="17ADA824">
            <w:pPr>
              <w:widowControl/>
              <w:spacing w:after="60" w:line="440" w:lineRule="exact"/>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（21）局放水平：在相间施加1.8Ur的预加电压、时间30秒后，将电压降至1.3Ur继续试验3分钟的放电量小于10pC。</w:t>
            </w:r>
          </w:p>
        </w:tc>
      </w:tr>
      <w:tr w14:paraId="772FE2FB">
        <w:tblPrEx>
          <w:tblCellMar>
            <w:top w:w="0" w:type="dxa"/>
            <w:left w:w="108" w:type="dxa"/>
            <w:bottom w:w="0" w:type="dxa"/>
            <w:right w:w="108" w:type="dxa"/>
          </w:tblCellMar>
        </w:tblPrEx>
        <w:trPr>
          <w:trHeight w:val="1413" w:hRule="atLeast"/>
        </w:trPr>
        <w:tc>
          <w:tcPr>
            <w:tcW w:w="672" w:type="dxa"/>
            <w:vMerge w:val="continue"/>
            <w:tcBorders>
              <w:top w:val="nil"/>
              <w:left w:val="single" w:color="000000" w:sz="8" w:space="0"/>
              <w:bottom w:val="single" w:color="000000" w:sz="8" w:space="0"/>
              <w:right w:val="single" w:color="000000" w:sz="8" w:space="0"/>
            </w:tcBorders>
            <w:vAlign w:val="bottom"/>
          </w:tcPr>
          <w:p w14:paraId="48742D6B">
            <w:pPr>
              <w:spacing w:after="60" w:line="440" w:lineRule="exact"/>
              <w:jc w:val="left"/>
              <w:rPr>
                <w:rFonts w:hint="eastAsia" w:cs="宋体" w:asciiTheme="minorEastAsia" w:hAnsiTheme="minorEastAsia" w:eastAsiaTheme="minorEastAsia"/>
                <w:color w:val="000000"/>
                <w:szCs w:val="21"/>
              </w:rPr>
            </w:pPr>
          </w:p>
        </w:tc>
        <w:tc>
          <w:tcPr>
            <w:tcW w:w="7588" w:type="dxa"/>
            <w:tcBorders>
              <w:top w:val="nil"/>
              <w:left w:val="single" w:color="000000" w:sz="8" w:space="0"/>
              <w:bottom w:val="single" w:color="000000" w:sz="8" w:space="0"/>
              <w:right w:val="single" w:color="000000" w:sz="8" w:space="0"/>
            </w:tcBorders>
            <w:vAlign w:val="center"/>
          </w:tcPr>
          <w:p w14:paraId="2BFF2B61">
            <w:pPr>
              <w:widowControl/>
              <w:spacing w:after="60" w:line="440" w:lineRule="exact"/>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（22）变压器中的各组件及其支持绝缘件的外绝缘件的外绝缘爬电比距（高压电器组件外绝缘的爬电距离与最高电压之比）应按凝露型考虑，并符合相关标准。</w:t>
            </w:r>
          </w:p>
        </w:tc>
      </w:tr>
      <w:tr w14:paraId="7985C1B6">
        <w:tblPrEx>
          <w:tblCellMar>
            <w:top w:w="0" w:type="dxa"/>
            <w:left w:w="108" w:type="dxa"/>
            <w:bottom w:w="0" w:type="dxa"/>
            <w:right w:w="108" w:type="dxa"/>
          </w:tblCellMar>
        </w:tblPrEx>
        <w:trPr>
          <w:trHeight w:val="951" w:hRule="atLeast"/>
        </w:trPr>
        <w:tc>
          <w:tcPr>
            <w:tcW w:w="672" w:type="dxa"/>
            <w:vMerge w:val="continue"/>
            <w:tcBorders>
              <w:top w:val="nil"/>
              <w:left w:val="single" w:color="000000" w:sz="8" w:space="0"/>
              <w:bottom w:val="single" w:color="000000" w:sz="8" w:space="0"/>
              <w:right w:val="single" w:color="000000" w:sz="8" w:space="0"/>
            </w:tcBorders>
            <w:vAlign w:val="bottom"/>
          </w:tcPr>
          <w:p w14:paraId="0323A09D">
            <w:pPr>
              <w:spacing w:after="60" w:line="440" w:lineRule="exact"/>
              <w:jc w:val="left"/>
              <w:rPr>
                <w:rFonts w:hint="eastAsia" w:cs="宋体" w:asciiTheme="minorEastAsia" w:hAnsiTheme="minorEastAsia" w:eastAsiaTheme="minorEastAsia"/>
                <w:color w:val="000000"/>
                <w:szCs w:val="21"/>
              </w:rPr>
            </w:pPr>
          </w:p>
        </w:tc>
        <w:tc>
          <w:tcPr>
            <w:tcW w:w="7588" w:type="dxa"/>
            <w:tcBorders>
              <w:top w:val="nil"/>
              <w:left w:val="single" w:color="000000" w:sz="8" w:space="0"/>
              <w:bottom w:val="single" w:color="000000" w:sz="8" w:space="0"/>
              <w:right w:val="single" w:color="000000" w:sz="8" w:space="0"/>
            </w:tcBorders>
            <w:vAlign w:val="center"/>
          </w:tcPr>
          <w:p w14:paraId="08D54A08">
            <w:pPr>
              <w:widowControl/>
              <w:spacing w:after="60" w:line="440" w:lineRule="exact"/>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（23）产品阻燃性好，绝缘材料具有自动熄火的特性，遇到火源时不产生有害气体。</w:t>
            </w:r>
          </w:p>
        </w:tc>
      </w:tr>
      <w:tr w14:paraId="0641AE75">
        <w:tblPrEx>
          <w:tblCellMar>
            <w:top w:w="0" w:type="dxa"/>
            <w:left w:w="108" w:type="dxa"/>
            <w:bottom w:w="0" w:type="dxa"/>
            <w:right w:w="108" w:type="dxa"/>
          </w:tblCellMar>
        </w:tblPrEx>
        <w:trPr>
          <w:trHeight w:val="507" w:hRule="atLeast"/>
        </w:trPr>
        <w:tc>
          <w:tcPr>
            <w:tcW w:w="672" w:type="dxa"/>
            <w:vMerge w:val="continue"/>
            <w:tcBorders>
              <w:top w:val="nil"/>
              <w:left w:val="single" w:color="000000" w:sz="8" w:space="0"/>
              <w:bottom w:val="single" w:color="000000" w:sz="8" w:space="0"/>
              <w:right w:val="single" w:color="000000" w:sz="8" w:space="0"/>
            </w:tcBorders>
            <w:vAlign w:val="bottom"/>
          </w:tcPr>
          <w:p w14:paraId="1B656BC8">
            <w:pPr>
              <w:spacing w:after="60" w:line="440" w:lineRule="exact"/>
              <w:jc w:val="left"/>
              <w:rPr>
                <w:rFonts w:hint="eastAsia" w:cs="宋体" w:asciiTheme="minorEastAsia" w:hAnsiTheme="minorEastAsia" w:eastAsiaTheme="minorEastAsia"/>
                <w:color w:val="000000"/>
                <w:szCs w:val="21"/>
              </w:rPr>
            </w:pPr>
          </w:p>
        </w:tc>
        <w:tc>
          <w:tcPr>
            <w:tcW w:w="7588" w:type="dxa"/>
            <w:tcBorders>
              <w:top w:val="nil"/>
              <w:left w:val="single" w:color="000000" w:sz="8" w:space="0"/>
              <w:bottom w:val="single" w:color="000000" w:sz="8" w:space="0"/>
              <w:right w:val="single" w:color="000000" w:sz="8" w:space="0"/>
            </w:tcBorders>
            <w:vAlign w:val="center"/>
          </w:tcPr>
          <w:p w14:paraId="1CE487FD">
            <w:pPr>
              <w:widowControl/>
              <w:spacing w:after="60" w:line="440" w:lineRule="exact"/>
              <w:textAlignment w:val="center"/>
              <w:rPr>
                <w:rFonts w:hint="eastAsia" w:cs="宋体" w:asciiTheme="minorEastAsia" w:hAnsiTheme="minorEastAsia" w:eastAsiaTheme="minorEastAsia"/>
                <w:b/>
                <w:bCs/>
                <w:color w:val="000000"/>
                <w:szCs w:val="21"/>
              </w:rPr>
            </w:pPr>
            <w:r>
              <w:rPr>
                <w:rFonts w:cs="宋体" w:asciiTheme="minorEastAsia" w:hAnsiTheme="minorEastAsia" w:eastAsiaTheme="minorEastAsia"/>
                <w:b/>
                <w:bCs/>
                <w:color w:val="000000"/>
                <w:kern w:val="0"/>
                <w:szCs w:val="21"/>
              </w:rPr>
              <w:t>1.2</w:t>
            </w:r>
            <w:r>
              <w:rPr>
                <w:rFonts w:hint="eastAsia" w:cs="宋体" w:asciiTheme="minorEastAsia" w:hAnsiTheme="minorEastAsia" w:eastAsiaTheme="minorEastAsia"/>
                <w:b/>
                <w:bCs/>
                <w:color w:val="000000"/>
                <w:kern w:val="0"/>
                <w:szCs w:val="21"/>
              </w:rPr>
              <w:t>材料、结构及工艺水平要求</w:t>
            </w:r>
          </w:p>
        </w:tc>
      </w:tr>
      <w:tr w14:paraId="39C13DF5">
        <w:tblPrEx>
          <w:tblCellMar>
            <w:top w:w="0" w:type="dxa"/>
            <w:left w:w="108" w:type="dxa"/>
            <w:bottom w:w="0" w:type="dxa"/>
            <w:right w:w="108" w:type="dxa"/>
          </w:tblCellMar>
        </w:tblPrEx>
        <w:trPr>
          <w:trHeight w:val="507" w:hRule="atLeast"/>
        </w:trPr>
        <w:tc>
          <w:tcPr>
            <w:tcW w:w="672" w:type="dxa"/>
            <w:vMerge w:val="continue"/>
            <w:tcBorders>
              <w:top w:val="nil"/>
              <w:left w:val="single" w:color="000000" w:sz="8" w:space="0"/>
              <w:bottom w:val="single" w:color="000000" w:sz="8" w:space="0"/>
              <w:right w:val="single" w:color="000000" w:sz="8" w:space="0"/>
            </w:tcBorders>
            <w:vAlign w:val="bottom"/>
          </w:tcPr>
          <w:p w14:paraId="20CE852A">
            <w:pPr>
              <w:spacing w:after="60" w:line="440" w:lineRule="exact"/>
              <w:jc w:val="left"/>
              <w:rPr>
                <w:rFonts w:hint="eastAsia" w:cs="宋体" w:asciiTheme="minorEastAsia" w:hAnsiTheme="minorEastAsia" w:eastAsiaTheme="minorEastAsia"/>
                <w:color w:val="000000"/>
                <w:szCs w:val="21"/>
              </w:rPr>
            </w:pPr>
          </w:p>
        </w:tc>
        <w:tc>
          <w:tcPr>
            <w:tcW w:w="7588" w:type="dxa"/>
            <w:tcBorders>
              <w:top w:val="nil"/>
              <w:left w:val="single" w:color="000000" w:sz="8" w:space="0"/>
              <w:bottom w:val="single" w:color="000000" w:sz="8" w:space="0"/>
              <w:right w:val="single" w:color="000000" w:sz="8" w:space="0"/>
            </w:tcBorders>
            <w:vAlign w:val="center"/>
          </w:tcPr>
          <w:p w14:paraId="2DD75AC0">
            <w:pPr>
              <w:widowControl/>
              <w:spacing w:after="60" w:line="440" w:lineRule="exact"/>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（1）高压、低压绝缘材料具备F级绝缘。</w:t>
            </w:r>
          </w:p>
        </w:tc>
      </w:tr>
      <w:tr w14:paraId="720CB66C">
        <w:tblPrEx>
          <w:tblCellMar>
            <w:top w:w="0" w:type="dxa"/>
            <w:left w:w="108" w:type="dxa"/>
            <w:bottom w:w="0" w:type="dxa"/>
            <w:right w:w="108" w:type="dxa"/>
          </w:tblCellMar>
        </w:tblPrEx>
        <w:trPr>
          <w:trHeight w:val="1877" w:hRule="atLeast"/>
        </w:trPr>
        <w:tc>
          <w:tcPr>
            <w:tcW w:w="672" w:type="dxa"/>
            <w:vMerge w:val="continue"/>
            <w:tcBorders>
              <w:top w:val="nil"/>
              <w:left w:val="single" w:color="000000" w:sz="8" w:space="0"/>
              <w:bottom w:val="single" w:color="000000" w:sz="8" w:space="0"/>
              <w:right w:val="single" w:color="000000" w:sz="8" w:space="0"/>
            </w:tcBorders>
            <w:vAlign w:val="bottom"/>
          </w:tcPr>
          <w:p w14:paraId="4572C169">
            <w:pPr>
              <w:spacing w:after="60" w:line="440" w:lineRule="exact"/>
              <w:jc w:val="left"/>
              <w:rPr>
                <w:rFonts w:hint="eastAsia" w:cs="宋体" w:asciiTheme="minorEastAsia" w:hAnsiTheme="minorEastAsia" w:eastAsiaTheme="minorEastAsia"/>
                <w:color w:val="000000"/>
                <w:szCs w:val="21"/>
              </w:rPr>
            </w:pPr>
          </w:p>
        </w:tc>
        <w:tc>
          <w:tcPr>
            <w:tcW w:w="7588" w:type="dxa"/>
            <w:tcBorders>
              <w:top w:val="nil"/>
              <w:left w:val="single" w:color="000000" w:sz="8" w:space="0"/>
              <w:bottom w:val="single" w:color="000000" w:sz="8" w:space="0"/>
              <w:right w:val="single" w:color="000000" w:sz="8" w:space="0"/>
            </w:tcBorders>
            <w:vAlign w:val="center"/>
          </w:tcPr>
          <w:p w14:paraId="5E72B814">
            <w:pPr>
              <w:widowControl/>
              <w:spacing w:after="60" w:line="440" w:lineRule="exact"/>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（2）变压器铁芯材料选用冷轧晶粒取向硅钢片，步进叠片工艺，硅钢片应采用自动剪切线剪切，</w:t>
            </w:r>
            <w:r>
              <w:rPr>
                <w:rFonts w:hint="eastAsia" w:cs="宋体" w:asciiTheme="minorEastAsia" w:hAnsiTheme="minorEastAsia" w:eastAsiaTheme="minorEastAsia"/>
                <w:kern w:val="0"/>
                <w:szCs w:val="21"/>
              </w:rPr>
              <w:t>保证硅钢片剪切毛刺</w:t>
            </w:r>
            <w:r>
              <w:rPr>
                <w:rFonts w:hint="eastAsia" w:cs="宋体" w:asciiTheme="minorEastAsia" w:hAnsiTheme="minorEastAsia" w:eastAsiaTheme="minorEastAsia"/>
                <w:color w:val="000000"/>
                <w:kern w:val="0"/>
                <w:szCs w:val="21"/>
              </w:rPr>
              <w:t>小（&lt;0.02mm）、叠片的接缝小而均匀。变压器铁心和金属件均应可靠接地，并有明显的接地标志，铁心和金属件均有防锈保护层。</w:t>
            </w:r>
          </w:p>
        </w:tc>
      </w:tr>
      <w:tr w14:paraId="2237E779">
        <w:tblPrEx>
          <w:tblCellMar>
            <w:top w:w="0" w:type="dxa"/>
            <w:left w:w="108" w:type="dxa"/>
            <w:bottom w:w="0" w:type="dxa"/>
            <w:right w:w="108" w:type="dxa"/>
          </w:tblCellMar>
        </w:tblPrEx>
        <w:trPr>
          <w:trHeight w:val="951" w:hRule="atLeast"/>
        </w:trPr>
        <w:tc>
          <w:tcPr>
            <w:tcW w:w="672" w:type="dxa"/>
            <w:vMerge w:val="continue"/>
            <w:tcBorders>
              <w:top w:val="nil"/>
              <w:left w:val="single" w:color="000000" w:sz="8" w:space="0"/>
              <w:bottom w:val="single" w:color="000000" w:sz="8" w:space="0"/>
              <w:right w:val="single" w:color="000000" w:sz="8" w:space="0"/>
            </w:tcBorders>
            <w:vAlign w:val="bottom"/>
          </w:tcPr>
          <w:p w14:paraId="6CBF414C">
            <w:pPr>
              <w:spacing w:after="60" w:line="440" w:lineRule="exact"/>
              <w:jc w:val="left"/>
              <w:rPr>
                <w:rFonts w:hint="eastAsia" w:cs="宋体" w:asciiTheme="minorEastAsia" w:hAnsiTheme="minorEastAsia" w:eastAsiaTheme="minorEastAsia"/>
                <w:color w:val="000000"/>
                <w:szCs w:val="21"/>
              </w:rPr>
            </w:pPr>
          </w:p>
        </w:tc>
        <w:tc>
          <w:tcPr>
            <w:tcW w:w="7588" w:type="dxa"/>
            <w:tcBorders>
              <w:top w:val="nil"/>
              <w:left w:val="single" w:color="000000" w:sz="8" w:space="0"/>
              <w:bottom w:val="single" w:color="000000" w:sz="8" w:space="0"/>
              <w:right w:val="single" w:color="000000" w:sz="8" w:space="0"/>
            </w:tcBorders>
            <w:vAlign w:val="center"/>
          </w:tcPr>
          <w:p w14:paraId="0038E864">
            <w:pPr>
              <w:widowControl/>
              <w:spacing w:after="60" w:line="440" w:lineRule="exact"/>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（3）浇注后的高压线圈表面环氧真空树脂层应均匀、光滑平整、线圈表面不应补刷树脂及绝缘漆。</w:t>
            </w:r>
          </w:p>
        </w:tc>
      </w:tr>
      <w:tr w14:paraId="54D39D97">
        <w:tblPrEx>
          <w:tblCellMar>
            <w:top w:w="0" w:type="dxa"/>
            <w:left w:w="108" w:type="dxa"/>
            <w:bottom w:w="0" w:type="dxa"/>
            <w:right w:w="108" w:type="dxa"/>
          </w:tblCellMar>
        </w:tblPrEx>
        <w:trPr>
          <w:trHeight w:val="951" w:hRule="atLeast"/>
        </w:trPr>
        <w:tc>
          <w:tcPr>
            <w:tcW w:w="672" w:type="dxa"/>
            <w:vMerge w:val="continue"/>
            <w:tcBorders>
              <w:top w:val="nil"/>
              <w:left w:val="single" w:color="000000" w:sz="8" w:space="0"/>
              <w:bottom w:val="single" w:color="000000" w:sz="8" w:space="0"/>
              <w:right w:val="single" w:color="000000" w:sz="8" w:space="0"/>
            </w:tcBorders>
            <w:vAlign w:val="bottom"/>
          </w:tcPr>
          <w:p w14:paraId="55B7C7B4">
            <w:pPr>
              <w:spacing w:after="60" w:line="440" w:lineRule="exact"/>
              <w:jc w:val="left"/>
              <w:rPr>
                <w:rFonts w:hint="eastAsia" w:cs="宋体" w:asciiTheme="minorEastAsia" w:hAnsiTheme="minorEastAsia" w:eastAsiaTheme="minorEastAsia"/>
                <w:color w:val="000000"/>
                <w:szCs w:val="21"/>
              </w:rPr>
            </w:pPr>
          </w:p>
        </w:tc>
        <w:tc>
          <w:tcPr>
            <w:tcW w:w="7588" w:type="dxa"/>
            <w:tcBorders>
              <w:top w:val="nil"/>
              <w:left w:val="single" w:color="000000" w:sz="8" w:space="0"/>
              <w:bottom w:val="single" w:color="000000" w:sz="8" w:space="0"/>
              <w:right w:val="single" w:color="000000" w:sz="8" w:space="0"/>
            </w:tcBorders>
            <w:vAlign w:val="center"/>
          </w:tcPr>
          <w:p w14:paraId="067515D7">
            <w:pPr>
              <w:widowControl/>
              <w:spacing w:after="60" w:line="440" w:lineRule="exact"/>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（4）低压线圈采用铜线或铜箔绕制，线圈端部采用DMD材料及环氧真空树脂充填包封，端封应充填平整，线圈内部不留空隙。</w:t>
            </w:r>
          </w:p>
        </w:tc>
      </w:tr>
      <w:tr w14:paraId="0B9D808B">
        <w:tblPrEx>
          <w:tblCellMar>
            <w:top w:w="0" w:type="dxa"/>
            <w:left w:w="108" w:type="dxa"/>
            <w:bottom w:w="0" w:type="dxa"/>
            <w:right w:w="108" w:type="dxa"/>
          </w:tblCellMar>
        </w:tblPrEx>
        <w:trPr>
          <w:trHeight w:val="708" w:hRule="atLeast"/>
        </w:trPr>
        <w:tc>
          <w:tcPr>
            <w:tcW w:w="672" w:type="dxa"/>
            <w:vMerge w:val="continue"/>
            <w:tcBorders>
              <w:top w:val="nil"/>
              <w:left w:val="single" w:color="000000" w:sz="8" w:space="0"/>
              <w:bottom w:val="single" w:color="000000" w:sz="8" w:space="0"/>
              <w:right w:val="single" w:color="000000" w:sz="8" w:space="0"/>
            </w:tcBorders>
            <w:vAlign w:val="bottom"/>
          </w:tcPr>
          <w:p w14:paraId="55518471">
            <w:pPr>
              <w:spacing w:after="60" w:line="440" w:lineRule="exact"/>
              <w:jc w:val="left"/>
              <w:rPr>
                <w:rFonts w:hint="eastAsia" w:cs="宋体" w:asciiTheme="minorEastAsia" w:hAnsiTheme="minorEastAsia" w:eastAsiaTheme="minorEastAsia"/>
                <w:color w:val="000000"/>
                <w:szCs w:val="21"/>
              </w:rPr>
            </w:pPr>
          </w:p>
        </w:tc>
        <w:tc>
          <w:tcPr>
            <w:tcW w:w="7588" w:type="dxa"/>
            <w:tcBorders>
              <w:top w:val="nil"/>
              <w:left w:val="single" w:color="000000" w:sz="8" w:space="0"/>
              <w:bottom w:val="single" w:color="000000" w:sz="8" w:space="0"/>
              <w:right w:val="single" w:color="000000" w:sz="8" w:space="0"/>
            </w:tcBorders>
            <w:vAlign w:val="center"/>
          </w:tcPr>
          <w:p w14:paraId="3352D40B">
            <w:pPr>
              <w:widowControl/>
              <w:spacing w:after="60" w:line="440" w:lineRule="exact"/>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（5）高压、低压引出要有一定的电流裕度并须经绝缘子与外部连接。</w:t>
            </w:r>
          </w:p>
        </w:tc>
      </w:tr>
      <w:tr w14:paraId="3F8435DC">
        <w:tblPrEx>
          <w:tblCellMar>
            <w:top w:w="0" w:type="dxa"/>
            <w:left w:w="108" w:type="dxa"/>
            <w:bottom w:w="0" w:type="dxa"/>
            <w:right w:w="108" w:type="dxa"/>
          </w:tblCellMar>
        </w:tblPrEx>
        <w:trPr>
          <w:trHeight w:val="507" w:hRule="atLeast"/>
        </w:trPr>
        <w:tc>
          <w:tcPr>
            <w:tcW w:w="672" w:type="dxa"/>
            <w:vMerge w:val="continue"/>
            <w:tcBorders>
              <w:top w:val="nil"/>
              <w:left w:val="single" w:color="000000" w:sz="8" w:space="0"/>
              <w:bottom w:val="single" w:color="000000" w:sz="8" w:space="0"/>
              <w:right w:val="single" w:color="000000" w:sz="8" w:space="0"/>
            </w:tcBorders>
            <w:vAlign w:val="bottom"/>
          </w:tcPr>
          <w:p w14:paraId="3459001B">
            <w:pPr>
              <w:spacing w:after="60" w:line="440" w:lineRule="exact"/>
              <w:jc w:val="left"/>
              <w:rPr>
                <w:rFonts w:hint="eastAsia" w:cs="宋体" w:asciiTheme="minorEastAsia" w:hAnsiTheme="minorEastAsia" w:eastAsiaTheme="minorEastAsia"/>
                <w:color w:val="000000"/>
                <w:szCs w:val="21"/>
              </w:rPr>
            </w:pPr>
          </w:p>
        </w:tc>
        <w:tc>
          <w:tcPr>
            <w:tcW w:w="7588" w:type="dxa"/>
            <w:tcBorders>
              <w:top w:val="nil"/>
              <w:left w:val="single" w:color="000000" w:sz="8" w:space="0"/>
              <w:bottom w:val="single" w:color="000000" w:sz="8" w:space="0"/>
              <w:right w:val="single" w:color="000000" w:sz="8" w:space="0"/>
            </w:tcBorders>
            <w:vAlign w:val="center"/>
          </w:tcPr>
          <w:p w14:paraId="5565DAB5">
            <w:pPr>
              <w:widowControl/>
              <w:spacing w:after="60" w:line="440" w:lineRule="exact"/>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（6）铁芯及全部金属部件须有防锈处理。</w:t>
            </w:r>
          </w:p>
        </w:tc>
      </w:tr>
      <w:tr w14:paraId="27EFC15A">
        <w:tblPrEx>
          <w:tblCellMar>
            <w:top w:w="0" w:type="dxa"/>
            <w:left w:w="108" w:type="dxa"/>
            <w:bottom w:w="0" w:type="dxa"/>
            <w:right w:w="108" w:type="dxa"/>
          </w:tblCellMar>
        </w:tblPrEx>
        <w:trPr>
          <w:trHeight w:val="1840" w:hRule="atLeast"/>
        </w:trPr>
        <w:tc>
          <w:tcPr>
            <w:tcW w:w="672" w:type="dxa"/>
            <w:vMerge w:val="continue"/>
            <w:tcBorders>
              <w:top w:val="nil"/>
              <w:left w:val="single" w:color="000000" w:sz="8" w:space="0"/>
              <w:bottom w:val="single" w:color="000000" w:sz="8" w:space="0"/>
              <w:right w:val="single" w:color="000000" w:sz="8" w:space="0"/>
            </w:tcBorders>
            <w:vAlign w:val="bottom"/>
          </w:tcPr>
          <w:p w14:paraId="4E13062C">
            <w:pPr>
              <w:spacing w:after="60" w:line="440" w:lineRule="exact"/>
              <w:jc w:val="left"/>
              <w:rPr>
                <w:rFonts w:hint="eastAsia" w:cs="宋体" w:asciiTheme="minorEastAsia" w:hAnsiTheme="minorEastAsia" w:eastAsiaTheme="minorEastAsia"/>
                <w:color w:val="000000"/>
                <w:szCs w:val="21"/>
              </w:rPr>
            </w:pPr>
          </w:p>
        </w:tc>
        <w:tc>
          <w:tcPr>
            <w:tcW w:w="7588" w:type="dxa"/>
            <w:tcBorders>
              <w:top w:val="nil"/>
              <w:left w:val="single" w:color="000000" w:sz="8" w:space="0"/>
              <w:bottom w:val="single" w:color="000000" w:sz="8" w:space="0"/>
              <w:right w:val="single" w:color="000000" w:sz="8" w:space="0"/>
            </w:tcBorders>
            <w:vAlign w:val="center"/>
          </w:tcPr>
          <w:p w14:paraId="4AE0AA3D">
            <w:pPr>
              <w:widowControl/>
              <w:spacing w:after="60" w:line="440" w:lineRule="exact"/>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（7）外壳：采用不锈钢板</w:t>
            </w:r>
            <w:r>
              <w:rPr>
                <w:rFonts w:cs="宋体" w:asciiTheme="minorEastAsia" w:hAnsiTheme="minorEastAsia" w:eastAsiaTheme="minorEastAsia"/>
                <w:color w:val="000000"/>
                <w:kern w:val="0"/>
                <w:szCs w:val="21"/>
              </w:rPr>
              <w:t>或铝合金</w:t>
            </w:r>
            <w:r>
              <w:rPr>
                <w:rFonts w:hint="eastAsia" w:cs="宋体" w:asciiTheme="minorEastAsia" w:hAnsiTheme="minorEastAsia" w:eastAsiaTheme="minorEastAsia"/>
                <w:color w:val="000000"/>
                <w:kern w:val="0"/>
                <w:szCs w:val="21"/>
              </w:rPr>
              <w:t>材质，防护等级达到IP30及以上。低压侧出线铜排需与低压配电屏水平母排协调以便于接驳，不论与低压柜采用侧面连接还是上方连接，均被视为已包括在本承包合约工作范围之内。</w:t>
            </w:r>
          </w:p>
        </w:tc>
      </w:tr>
      <w:tr w14:paraId="67399F3F">
        <w:tblPrEx>
          <w:tblCellMar>
            <w:top w:w="0" w:type="dxa"/>
            <w:left w:w="108" w:type="dxa"/>
            <w:bottom w:w="0" w:type="dxa"/>
            <w:right w:w="108" w:type="dxa"/>
          </w:tblCellMar>
        </w:tblPrEx>
        <w:trPr>
          <w:trHeight w:val="507" w:hRule="atLeast"/>
        </w:trPr>
        <w:tc>
          <w:tcPr>
            <w:tcW w:w="672" w:type="dxa"/>
            <w:vMerge w:val="continue"/>
            <w:tcBorders>
              <w:top w:val="nil"/>
              <w:left w:val="single" w:color="000000" w:sz="8" w:space="0"/>
              <w:bottom w:val="single" w:color="000000" w:sz="8" w:space="0"/>
              <w:right w:val="single" w:color="000000" w:sz="8" w:space="0"/>
            </w:tcBorders>
            <w:vAlign w:val="bottom"/>
          </w:tcPr>
          <w:p w14:paraId="33D94F58">
            <w:pPr>
              <w:spacing w:after="60" w:line="440" w:lineRule="exact"/>
              <w:jc w:val="left"/>
              <w:rPr>
                <w:rFonts w:hint="eastAsia" w:cs="宋体" w:asciiTheme="minorEastAsia" w:hAnsiTheme="minorEastAsia" w:eastAsiaTheme="minorEastAsia"/>
                <w:color w:val="000000"/>
                <w:szCs w:val="21"/>
              </w:rPr>
            </w:pPr>
          </w:p>
        </w:tc>
        <w:tc>
          <w:tcPr>
            <w:tcW w:w="7588" w:type="dxa"/>
            <w:tcBorders>
              <w:top w:val="nil"/>
              <w:left w:val="single" w:color="000000" w:sz="8" w:space="0"/>
              <w:bottom w:val="single" w:color="000000" w:sz="8" w:space="0"/>
              <w:right w:val="single" w:color="000000" w:sz="8" w:space="0"/>
            </w:tcBorders>
            <w:vAlign w:val="center"/>
          </w:tcPr>
          <w:p w14:paraId="32C5BEE8">
            <w:pPr>
              <w:widowControl/>
              <w:spacing w:after="60" w:line="440" w:lineRule="exact"/>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（8）变压器本体及设备外壳上应设有接地装置。</w:t>
            </w:r>
          </w:p>
        </w:tc>
      </w:tr>
      <w:tr w14:paraId="45B24B07">
        <w:tblPrEx>
          <w:tblCellMar>
            <w:top w:w="0" w:type="dxa"/>
            <w:left w:w="108" w:type="dxa"/>
            <w:bottom w:w="0" w:type="dxa"/>
            <w:right w:w="108" w:type="dxa"/>
          </w:tblCellMar>
        </w:tblPrEx>
        <w:trPr>
          <w:trHeight w:val="708" w:hRule="atLeast"/>
        </w:trPr>
        <w:tc>
          <w:tcPr>
            <w:tcW w:w="672" w:type="dxa"/>
            <w:vMerge w:val="continue"/>
            <w:tcBorders>
              <w:top w:val="nil"/>
              <w:left w:val="single" w:color="000000" w:sz="8" w:space="0"/>
              <w:bottom w:val="single" w:color="000000" w:sz="8" w:space="0"/>
              <w:right w:val="single" w:color="000000" w:sz="8" w:space="0"/>
            </w:tcBorders>
            <w:vAlign w:val="bottom"/>
          </w:tcPr>
          <w:p w14:paraId="289F3357">
            <w:pPr>
              <w:spacing w:after="60" w:line="440" w:lineRule="exact"/>
              <w:jc w:val="left"/>
              <w:rPr>
                <w:rFonts w:hint="eastAsia" w:cs="宋体" w:asciiTheme="minorEastAsia" w:hAnsiTheme="minorEastAsia" w:eastAsiaTheme="minorEastAsia"/>
                <w:color w:val="000000"/>
                <w:szCs w:val="21"/>
              </w:rPr>
            </w:pPr>
          </w:p>
        </w:tc>
        <w:tc>
          <w:tcPr>
            <w:tcW w:w="7588" w:type="dxa"/>
            <w:tcBorders>
              <w:top w:val="nil"/>
              <w:left w:val="single" w:color="000000" w:sz="8" w:space="0"/>
              <w:bottom w:val="single" w:color="000000" w:sz="8" w:space="0"/>
              <w:right w:val="single" w:color="000000" w:sz="8" w:space="0"/>
            </w:tcBorders>
            <w:vAlign w:val="center"/>
          </w:tcPr>
          <w:p w14:paraId="7E816951">
            <w:pPr>
              <w:widowControl/>
              <w:spacing w:after="60" w:line="440" w:lineRule="exact"/>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（9）变压器带风机，采用低噪音且不显著改变设备外形尺寸的轴流风机。</w:t>
            </w:r>
          </w:p>
        </w:tc>
      </w:tr>
      <w:tr w14:paraId="3BE9DF20">
        <w:tblPrEx>
          <w:tblCellMar>
            <w:top w:w="0" w:type="dxa"/>
            <w:left w:w="108" w:type="dxa"/>
            <w:bottom w:w="0" w:type="dxa"/>
            <w:right w:w="108" w:type="dxa"/>
          </w:tblCellMar>
        </w:tblPrEx>
        <w:trPr>
          <w:trHeight w:val="951" w:hRule="atLeast"/>
        </w:trPr>
        <w:tc>
          <w:tcPr>
            <w:tcW w:w="672" w:type="dxa"/>
            <w:vMerge w:val="continue"/>
            <w:tcBorders>
              <w:top w:val="nil"/>
              <w:left w:val="single" w:color="000000" w:sz="8" w:space="0"/>
              <w:bottom w:val="single" w:color="000000" w:sz="8" w:space="0"/>
              <w:right w:val="single" w:color="000000" w:sz="8" w:space="0"/>
            </w:tcBorders>
            <w:vAlign w:val="bottom"/>
          </w:tcPr>
          <w:p w14:paraId="63F51618">
            <w:pPr>
              <w:spacing w:after="60" w:line="440" w:lineRule="exact"/>
              <w:jc w:val="left"/>
              <w:rPr>
                <w:rFonts w:hint="eastAsia" w:cs="宋体" w:asciiTheme="minorEastAsia" w:hAnsiTheme="minorEastAsia" w:eastAsiaTheme="minorEastAsia"/>
                <w:color w:val="000000"/>
                <w:szCs w:val="21"/>
              </w:rPr>
            </w:pPr>
          </w:p>
        </w:tc>
        <w:tc>
          <w:tcPr>
            <w:tcW w:w="7588" w:type="dxa"/>
            <w:tcBorders>
              <w:top w:val="nil"/>
              <w:left w:val="single" w:color="000000" w:sz="8" w:space="0"/>
              <w:bottom w:val="single" w:color="000000" w:sz="8" w:space="0"/>
              <w:right w:val="single" w:color="000000" w:sz="8" w:space="0"/>
            </w:tcBorders>
            <w:vAlign w:val="center"/>
          </w:tcPr>
          <w:p w14:paraId="4C5D8CA8">
            <w:pPr>
              <w:widowControl/>
              <w:spacing w:after="60" w:line="440" w:lineRule="exact"/>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（10</w:t>
            </w:r>
            <w:r>
              <w:rPr>
                <w:rFonts w:cs="宋体" w:asciiTheme="minorEastAsia" w:hAnsiTheme="minorEastAsia" w:eastAsiaTheme="minorEastAsia"/>
                <w:color w:val="000000"/>
                <w:kern w:val="0"/>
                <w:szCs w:val="21"/>
              </w:rPr>
              <w:t>）</w:t>
            </w:r>
            <w:r>
              <w:rPr>
                <w:rFonts w:hint="eastAsia" w:cs="宋体" w:asciiTheme="minorEastAsia" w:hAnsiTheme="minorEastAsia" w:eastAsiaTheme="minorEastAsia"/>
                <w:color w:val="000000"/>
                <w:kern w:val="0"/>
                <w:szCs w:val="21"/>
              </w:rPr>
              <w:t>连接/紧固螺栓应保证强度及防锈处理，满足设备承受短路能力要求。</w:t>
            </w:r>
          </w:p>
        </w:tc>
      </w:tr>
      <w:tr w14:paraId="07E237D2">
        <w:tblPrEx>
          <w:tblCellMar>
            <w:top w:w="0" w:type="dxa"/>
            <w:left w:w="108" w:type="dxa"/>
            <w:bottom w:w="0" w:type="dxa"/>
            <w:right w:w="108" w:type="dxa"/>
          </w:tblCellMar>
        </w:tblPrEx>
        <w:trPr>
          <w:trHeight w:val="1413" w:hRule="atLeast"/>
        </w:trPr>
        <w:tc>
          <w:tcPr>
            <w:tcW w:w="672" w:type="dxa"/>
            <w:vMerge w:val="continue"/>
            <w:tcBorders>
              <w:top w:val="nil"/>
              <w:left w:val="single" w:color="000000" w:sz="8" w:space="0"/>
              <w:bottom w:val="single" w:color="000000" w:sz="8" w:space="0"/>
              <w:right w:val="single" w:color="000000" w:sz="8" w:space="0"/>
            </w:tcBorders>
            <w:vAlign w:val="bottom"/>
          </w:tcPr>
          <w:p w14:paraId="16219D27">
            <w:pPr>
              <w:spacing w:after="60" w:line="440" w:lineRule="exact"/>
              <w:jc w:val="left"/>
              <w:rPr>
                <w:rFonts w:hint="eastAsia" w:cs="宋体" w:asciiTheme="minorEastAsia" w:hAnsiTheme="minorEastAsia" w:eastAsiaTheme="minorEastAsia"/>
                <w:color w:val="000000"/>
                <w:szCs w:val="21"/>
              </w:rPr>
            </w:pPr>
          </w:p>
        </w:tc>
        <w:tc>
          <w:tcPr>
            <w:tcW w:w="7588" w:type="dxa"/>
            <w:tcBorders>
              <w:top w:val="nil"/>
              <w:left w:val="single" w:color="000000" w:sz="8" w:space="0"/>
              <w:bottom w:val="single" w:color="000000" w:sz="8" w:space="0"/>
              <w:right w:val="single" w:color="000000" w:sz="8" w:space="0"/>
            </w:tcBorders>
            <w:vAlign w:val="center"/>
          </w:tcPr>
          <w:p w14:paraId="2296A26F">
            <w:pPr>
              <w:widowControl/>
              <w:spacing w:after="60" w:line="440" w:lineRule="exact"/>
              <w:textAlignment w:val="center"/>
              <w:rPr>
                <w:rFonts w:hint="eastAsia" w:cs="宋体" w:asciiTheme="minorEastAsia" w:hAnsiTheme="minorEastAsia" w:eastAsiaTheme="minorEastAsia"/>
                <w:b/>
                <w:bCs/>
                <w:szCs w:val="21"/>
              </w:rPr>
            </w:pPr>
            <w:r>
              <w:rPr>
                <w:rFonts w:hint="eastAsia" w:cs="宋体" w:asciiTheme="minorEastAsia" w:hAnsiTheme="minorEastAsia" w:eastAsiaTheme="minorEastAsia"/>
                <w:kern w:val="0"/>
                <w:szCs w:val="21"/>
              </w:rPr>
              <w:t>▲（11）所有设备和材料及设计安装方案必须考虑到防火阻燃性能，做到高阻燃、低烟、无卤。（提供第三方具备检测资质的机构出具的加注CMA或CNAS标识的检验检测报告）。</w:t>
            </w:r>
          </w:p>
        </w:tc>
      </w:tr>
      <w:tr w14:paraId="15CCD84E">
        <w:tblPrEx>
          <w:tblCellMar>
            <w:top w:w="0" w:type="dxa"/>
            <w:left w:w="108" w:type="dxa"/>
            <w:bottom w:w="0" w:type="dxa"/>
            <w:right w:w="108" w:type="dxa"/>
          </w:tblCellMar>
        </w:tblPrEx>
        <w:trPr>
          <w:trHeight w:val="507" w:hRule="atLeast"/>
        </w:trPr>
        <w:tc>
          <w:tcPr>
            <w:tcW w:w="672" w:type="dxa"/>
            <w:vMerge w:val="continue"/>
            <w:tcBorders>
              <w:top w:val="nil"/>
              <w:left w:val="single" w:color="000000" w:sz="8" w:space="0"/>
              <w:bottom w:val="single" w:color="000000" w:sz="8" w:space="0"/>
              <w:right w:val="single" w:color="000000" w:sz="8" w:space="0"/>
            </w:tcBorders>
            <w:vAlign w:val="bottom"/>
          </w:tcPr>
          <w:p w14:paraId="0C842F4F">
            <w:pPr>
              <w:spacing w:after="60" w:line="440" w:lineRule="exact"/>
              <w:jc w:val="left"/>
              <w:rPr>
                <w:rFonts w:hint="eastAsia" w:cs="宋体" w:asciiTheme="minorEastAsia" w:hAnsiTheme="minorEastAsia" w:eastAsiaTheme="minorEastAsia"/>
                <w:color w:val="000000"/>
                <w:szCs w:val="21"/>
              </w:rPr>
            </w:pPr>
          </w:p>
        </w:tc>
        <w:tc>
          <w:tcPr>
            <w:tcW w:w="7588" w:type="dxa"/>
            <w:tcBorders>
              <w:top w:val="nil"/>
              <w:left w:val="single" w:color="000000" w:sz="8" w:space="0"/>
              <w:bottom w:val="single" w:color="000000" w:sz="8" w:space="0"/>
              <w:right w:val="single" w:color="000000" w:sz="8" w:space="0"/>
            </w:tcBorders>
            <w:vAlign w:val="center"/>
          </w:tcPr>
          <w:p w14:paraId="4617B022">
            <w:pPr>
              <w:widowControl/>
              <w:spacing w:after="60" w:line="440" w:lineRule="exact"/>
              <w:textAlignment w:val="center"/>
              <w:rPr>
                <w:rFonts w:hint="eastAsia" w:cs="宋体" w:asciiTheme="minorEastAsia" w:hAnsiTheme="minorEastAsia" w:eastAsiaTheme="minorEastAsia"/>
                <w:b/>
                <w:bCs/>
                <w:color w:val="000000"/>
                <w:szCs w:val="21"/>
              </w:rPr>
            </w:pPr>
            <w:r>
              <w:rPr>
                <w:rFonts w:cs="宋体" w:asciiTheme="minorEastAsia" w:hAnsiTheme="minorEastAsia" w:eastAsiaTheme="minorEastAsia"/>
                <w:b/>
                <w:bCs/>
                <w:color w:val="000000"/>
                <w:kern w:val="0"/>
                <w:szCs w:val="21"/>
              </w:rPr>
              <w:t>1.3</w:t>
            </w:r>
            <w:r>
              <w:rPr>
                <w:rFonts w:hint="eastAsia" w:cs="宋体" w:asciiTheme="minorEastAsia" w:hAnsiTheme="minorEastAsia" w:eastAsiaTheme="minorEastAsia"/>
                <w:b/>
                <w:bCs/>
                <w:color w:val="000000"/>
                <w:kern w:val="0"/>
                <w:szCs w:val="21"/>
              </w:rPr>
              <w:t>其他要求：</w:t>
            </w:r>
          </w:p>
        </w:tc>
      </w:tr>
      <w:tr w14:paraId="5AED93DE">
        <w:tblPrEx>
          <w:tblCellMar>
            <w:top w:w="0" w:type="dxa"/>
            <w:left w:w="108" w:type="dxa"/>
            <w:bottom w:w="0" w:type="dxa"/>
            <w:right w:w="108" w:type="dxa"/>
          </w:tblCellMar>
        </w:tblPrEx>
        <w:trPr>
          <w:trHeight w:val="708" w:hRule="atLeast"/>
        </w:trPr>
        <w:tc>
          <w:tcPr>
            <w:tcW w:w="672" w:type="dxa"/>
            <w:vMerge w:val="continue"/>
            <w:tcBorders>
              <w:top w:val="nil"/>
              <w:left w:val="single" w:color="000000" w:sz="8" w:space="0"/>
              <w:bottom w:val="single" w:color="000000" w:sz="8" w:space="0"/>
              <w:right w:val="single" w:color="000000" w:sz="8" w:space="0"/>
            </w:tcBorders>
            <w:vAlign w:val="bottom"/>
          </w:tcPr>
          <w:p w14:paraId="6E92D48B">
            <w:pPr>
              <w:spacing w:after="60" w:line="440" w:lineRule="exact"/>
              <w:jc w:val="left"/>
              <w:rPr>
                <w:rFonts w:hint="eastAsia" w:cs="宋体" w:asciiTheme="minorEastAsia" w:hAnsiTheme="minorEastAsia" w:eastAsiaTheme="minorEastAsia"/>
                <w:color w:val="000000"/>
                <w:szCs w:val="21"/>
              </w:rPr>
            </w:pPr>
          </w:p>
        </w:tc>
        <w:tc>
          <w:tcPr>
            <w:tcW w:w="7588" w:type="dxa"/>
            <w:tcBorders>
              <w:top w:val="nil"/>
              <w:left w:val="single" w:color="000000" w:sz="8" w:space="0"/>
              <w:bottom w:val="single" w:color="000000" w:sz="8" w:space="0"/>
              <w:right w:val="single" w:color="000000" w:sz="8" w:space="0"/>
            </w:tcBorders>
            <w:vAlign w:val="center"/>
          </w:tcPr>
          <w:p w14:paraId="11F0B8C8">
            <w:pPr>
              <w:widowControl/>
              <w:spacing w:after="60" w:line="440" w:lineRule="exact"/>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1、为智能配电监控系统免费提供通讯接口及标准的开放的通信协议。</w:t>
            </w:r>
          </w:p>
        </w:tc>
      </w:tr>
      <w:tr w14:paraId="60AB2AD8">
        <w:tblPrEx>
          <w:tblCellMar>
            <w:top w:w="0" w:type="dxa"/>
            <w:left w:w="108" w:type="dxa"/>
            <w:bottom w:w="0" w:type="dxa"/>
            <w:right w:w="108" w:type="dxa"/>
          </w:tblCellMar>
        </w:tblPrEx>
        <w:trPr>
          <w:trHeight w:val="951" w:hRule="atLeast"/>
        </w:trPr>
        <w:tc>
          <w:tcPr>
            <w:tcW w:w="672" w:type="dxa"/>
            <w:vMerge w:val="continue"/>
            <w:tcBorders>
              <w:top w:val="nil"/>
              <w:left w:val="single" w:color="000000" w:sz="8" w:space="0"/>
              <w:bottom w:val="single" w:color="000000" w:sz="8" w:space="0"/>
              <w:right w:val="single" w:color="000000" w:sz="8" w:space="0"/>
            </w:tcBorders>
            <w:vAlign w:val="bottom"/>
          </w:tcPr>
          <w:p w14:paraId="674E82DD">
            <w:pPr>
              <w:spacing w:after="60" w:line="440" w:lineRule="exact"/>
              <w:jc w:val="left"/>
              <w:rPr>
                <w:rFonts w:hint="eastAsia" w:cs="宋体" w:asciiTheme="minorEastAsia" w:hAnsiTheme="minorEastAsia" w:eastAsiaTheme="minorEastAsia"/>
                <w:color w:val="000000"/>
                <w:szCs w:val="21"/>
              </w:rPr>
            </w:pPr>
          </w:p>
        </w:tc>
        <w:tc>
          <w:tcPr>
            <w:tcW w:w="7588" w:type="dxa"/>
            <w:tcBorders>
              <w:top w:val="nil"/>
              <w:left w:val="single" w:color="000000" w:sz="8" w:space="0"/>
              <w:bottom w:val="single" w:color="000000" w:sz="8" w:space="0"/>
              <w:right w:val="single" w:color="000000" w:sz="8" w:space="0"/>
            </w:tcBorders>
            <w:vAlign w:val="center"/>
          </w:tcPr>
          <w:p w14:paraId="49FF429C">
            <w:pPr>
              <w:widowControl/>
              <w:spacing w:after="60" w:line="440" w:lineRule="exact"/>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2、提供智能型温控温显装置，并向智能配电监控系统提供不少于以下内容的数据及供智能配电监控系统完成该部门数据采集：</w:t>
            </w:r>
          </w:p>
        </w:tc>
      </w:tr>
      <w:tr w14:paraId="3D103001">
        <w:tblPrEx>
          <w:tblCellMar>
            <w:top w:w="0" w:type="dxa"/>
            <w:left w:w="108" w:type="dxa"/>
            <w:bottom w:w="0" w:type="dxa"/>
            <w:right w:w="108" w:type="dxa"/>
          </w:tblCellMar>
        </w:tblPrEx>
        <w:trPr>
          <w:trHeight w:val="507" w:hRule="atLeast"/>
        </w:trPr>
        <w:tc>
          <w:tcPr>
            <w:tcW w:w="672" w:type="dxa"/>
            <w:vMerge w:val="continue"/>
            <w:tcBorders>
              <w:top w:val="nil"/>
              <w:left w:val="single" w:color="000000" w:sz="8" w:space="0"/>
              <w:bottom w:val="single" w:color="000000" w:sz="8" w:space="0"/>
              <w:right w:val="single" w:color="000000" w:sz="8" w:space="0"/>
            </w:tcBorders>
            <w:vAlign w:val="bottom"/>
          </w:tcPr>
          <w:p w14:paraId="219787F2">
            <w:pPr>
              <w:spacing w:after="60" w:line="440" w:lineRule="exact"/>
              <w:jc w:val="left"/>
              <w:rPr>
                <w:rFonts w:hint="eastAsia" w:cs="宋体" w:asciiTheme="minorEastAsia" w:hAnsiTheme="minorEastAsia" w:eastAsiaTheme="minorEastAsia"/>
                <w:color w:val="000000"/>
                <w:szCs w:val="21"/>
              </w:rPr>
            </w:pPr>
          </w:p>
        </w:tc>
        <w:tc>
          <w:tcPr>
            <w:tcW w:w="7588" w:type="dxa"/>
            <w:tcBorders>
              <w:top w:val="nil"/>
              <w:left w:val="single" w:color="000000" w:sz="8" w:space="0"/>
              <w:bottom w:val="single" w:color="000000" w:sz="8" w:space="0"/>
              <w:right w:val="single" w:color="000000" w:sz="8" w:space="0"/>
            </w:tcBorders>
            <w:vAlign w:val="center"/>
          </w:tcPr>
          <w:p w14:paraId="4D4722D5">
            <w:pPr>
              <w:widowControl/>
              <w:spacing w:after="60" w:line="440" w:lineRule="exact"/>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（1）数字温度显示变压器三相低压绕组的温度</w:t>
            </w:r>
          </w:p>
        </w:tc>
      </w:tr>
      <w:tr w14:paraId="5DCFC51D">
        <w:tblPrEx>
          <w:tblCellMar>
            <w:top w:w="0" w:type="dxa"/>
            <w:left w:w="108" w:type="dxa"/>
            <w:bottom w:w="0" w:type="dxa"/>
            <w:right w:w="108" w:type="dxa"/>
          </w:tblCellMar>
        </w:tblPrEx>
        <w:trPr>
          <w:trHeight w:val="1413" w:hRule="atLeast"/>
        </w:trPr>
        <w:tc>
          <w:tcPr>
            <w:tcW w:w="672" w:type="dxa"/>
            <w:vMerge w:val="continue"/>
            <w:tcBorders>
              <w:top w:val="nil"/>
              <w:left w:val="single" w:color="000000" w:sz="8" w:space="0"/>
              <w:bottom w:val="single" w:color="000000" w:sz="8" w:space="0"/>
              <w:right w:val="single" w:color="000000" w:sz="8" w:space="0"/>
            </w:tcBorders>
            <w:vAlign w:val="bottom"/>
          </w:tcPr>
          <w:p w14:paraId="310E5C0C">
            <w:pPr>
              <w:spacing w:after="60" w:line="440" w:lineRule="exact"/>
              <w:jc w:val="left"/>
              <w:rPr>
                <w:rFonts w:hint="eastAsia" w:cs="宋体" w:asciiTheme="minorEastAsia" w:hAnsiTheme="minorEastAsia" w:eastAsiaTheme="minorEastAsia"/>
                <w:color w:val="000000"/>
                <w:szCs w:val="21"/>
              </w:rPr>
            </w:pPr>
          </w:p>
        </w:tc>
        <w:tc>
          <w:tcPr>
            <w:tcW w:w="7588" w:type="dxa"/>
            <w:tcBorders>
              <w:top w:val="nil"/>
              <w:left w:val="single" w:color="000000" w:sz="8" w:space="0"/>
              <w:bottom w:val="single" w:color="000000" w:sz="8" w:space="0"/>
              <w:right w:val="single" w:color="000000" w:sz="8" w:space="0"/>
            </w:tcBorders>
            <w:vAlign w:val="center"/>
          </w:tcPr>
          <w:p w14:paraId="0EEE0F5B">
            <w:pPr>
              <w:widowControl/>
              <w:spacing w:after="60" w:line="440" w:lineRule="exact"/>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（2）控制风机启停：当变压器低压线圈温度达到110℃（出厂设定，也可根据用户要求另设）时，现场发出声光报警，同时输出报警信号，为智能配电监控系统提供无源干接点报警信号并预留专用接线端子。</w:t>
            </w:r>
          </w:p>
        </w:tc>
      </w:tr>
      <w:tr w14:paraId="4603B750">
        <w:tblPrEx>
          <w:tblCellMar>
            <w:top w:w="0" w:type="dxa"/>
            <w:left w:w="108" w:type="dxa"/>
            <w:bottom w:w="0" w:type="dxa"/>
            <w:right w:w="108" w:type="dxa"/>
          </w:tblCellMar>
        </w:tblPrEx>
        <w:trPr>
          <w:trHeight w:val="507" w:hRule="atLeast"/>
        </w:trPr>
        <w:tc>
          <w:tcPr>
            <w:tcW w:w="672" w:type="dxa"/>
            <w:vMerge w:val="continue"/>
            <w:tcBorders>
              <w:top w:val="nil"/>
              <w:left w:val="single" w:color="000000" w:sz="8" w:space="0"/>
              <w:bottom w:val="single" w:color="000000" w:sz="8" w:space="0"/>
              <w:right w:val="single" w:color="000000" w:sz="8" w:space="0"/>
            </w:tcBorders>
            <w:vAlign w:val="bottom"/>
          </w:tcPr>
          <w:p w14:paraId="06C9C613">
            <w:pPr>
              <w:spacing w:after="60" w:line="440" w:lineRule="exact"/>
              <w:jc w:val="left"/>
              <w:rPr>
                <w:rFonts w:hint="eastAsia" w:cs="宋体" w:asciiTheme="minorEastAsia" w:hAnsiTheme="minorEastAsia" w:eastAsiaTheme="minorEastAsia"/>
                <w:color w:val="000000"/>
                <w:szCs w:val="21"/>
              </w:rPr>
            </w:pPr>
          </w:p>
        </w:tc>
        <w:tc>
          <w:tcPr>
            <w:tcW w:w="7588" w:type="dxa"/>
            <w:tcBorders>
              <w:top w:val="nil"/>
              <w:left w:val="single" w:color="000000" w:sz="8" w:space="0"/>
              <w:bottom w:val="single" w:color="000000" w:sz="8" w:space="0"/>
              <w:right w:val="single" w:color="000000" w:sz="8" w:space="0"/>
            </w:tcBorders>
            <w:vAlign w:val="center"/>
          </w:tcPr>
          <w:p w14:paraId="05C086E5">
            <w:pPr>
              <w:widowControl/>
              <w:spacing w:after="60" w:line="440" w:lineRule="exact"/>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（3）检测温控系统故障：</w:t>
            </w:r>
          </w:p>
        </w:tc>
      </w:tr>
      <w:tr w14:paraId="2B41BD83">
        <w:tblPrEx>
          <w:tblCellMar>
            <w:top w:w="0" w:type="dxa"/>
            <w:left w:w="108" w:type="dxa"/>
            <w:bottom w:w="0" w:type="dxa"/>
            <w:right w:w="108" w:type="dxa"/>
          </w:tblCellMar>
        </w:tblPrEx>
        <w:trPr>
          <w:trHeight w:val="507" w:hRule="atLeast"/>
        </w:trPr>
        <w:tc>
          <w:tcPr>
            <w:tcW w:w="672" w:type="dxa"/>
            <w:vMerge w:val="continue"/>
            <w:tcBorders>
              <w:top w:val="nil"/>
              <w:left w:val="single" w:color="000000" w:sz="8" w:space="0"/>
              <w:bottom w:val="single" w:color="000000" w:sz="8" w:space="0"/>
              <w:right w:val="single" w:color="000000" w:sz="8" w:space="0"/>
            </w:tcBorders>
            <w:vAlign w:val="bottom"/>
          </w:tcPr>
          <w:p w14:paraId="179C53C7">
            <w:pPr>
              <w:spacing w:after="60" w:line="440" w:lineRule="exact"/>
              <w:jc w:val="left"/>
              <w:rPr>
                <w:rFonts w:hint="eastAsia" w:cs="宋体" w:asciiTheme="minorEastAsia" w:hAnsiTheme="minorEastAsia" w:eastAsiaTheme="minorEastAsia"/>
                <w:color w:val="000000"/>
                <w:szCs w:val="21"/>
              </w:rPr>
            </w:pPr>
          </w:p>
        </w:tc>
        <w:tc>
          <w:tcPr>
            <w:tcW w:w="7588" w:type="dxa"/>
            <w:tcBorders>
              <w:top w:val="nil"/>
              <w:left w:val="single" w:color="000000" w:sz="8" w:space="0"/>
              <w:bottom w:val="single" w:color="000000" w:sz="8" w:space="0"/>
              <w:right w:val="single" w:color="000000" w:sz="8" w:space="0"/>
            </w:tcBorders>
            <w:vAlign w:val="center"/>
          </w:tcPr>
          <w:p w14:paraId="6346B95B">
            <w:pPr>
              <w:widowControl/>
              <w:spacing w:after="60" w:line="440" w:lineRule="exact"/>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A</w:t>
            </w:r>
            <w:r>
              <w:rPr>
                <w:rFonts w:cs="宋体" w:asciiTheme="minorEastAsia" w:hAnsiTheme="minorEastAsia" w:eastAsiaTheme="minorEastAsia"/>
                <w:color w:val="000000"/>
                <w:kern w:val="0"/>
                <w:szCs w:val="21"/>
              </w:rPr>
              <w:t>.</w:t>
            </w:r>
            <w:r>
              <w:rPr>
                <w:rFonts w:hint="eastAsia" w:cs="宋体" w:asciiTheme="minorEastAsia" w:hAnsiTheme="minorEastAsia" w:eastAsiaTheme="minorEastAsia"/>
                <w:color w:val="000000"/>
                <w:kern w:val="0"/>
                <w:szCs w:val="21"/>
              </w:rPr>
              <w:t>检测测量线路断线故障</w:t>
            </w:r>
          </w:p>
        </w:tc>
      </w:tr>
      <w:tr w14:paraId="6937F485">
        <w:tblPrEx>
          <w:tblCellMar>
            <w:top w:w="0" w:type="dxa"/>
            <w:left w:w="108" w:type="dxa"/>
            <w:bottom w:w="0" w:type="dxa"/>
            <w:right w:w="108" w:type="dxa"/>
          </w:tblCellMar>
        </w:tblPrEx>
        <w:trPr>
          <w:trHeight w:val="507" w:hRule="atLeast"/>
        </w:trPr>
        <w:tc>
          <w:tcPr>
            <w:tcW w:w="672" w:type="dxa"/>
            <w:vMerge w:val="continue"/>
            <w:tcBorders>
              <w:top w:val="nil"/>
              <w:left w:val="single" w:color="000000" w:sz="8" w:space="0"/>
              <w:bottom w:val="single" w:color="000000" w:sz="8" w:space="0"/>
              <w:right w:val="single" w:color="000000" w:sz="8" w:space="0"/>
            </w:tcBorders>
            <w:vAlign w:val="bottom"/>
          </w:tcPr>
          <w:p w14:paraId="1410222F">
            <w:pPr>
              <w:spacing w:after="60" w:line="440" w:lineRule="exact"/>
              <w:jc w:val="left"/>
              <w:rPr>
                <w:rFonts w:hint="eastAsia" w:cs="宋体" w:asciiTheme="minorEastAsia" w:hAnsiTheme="minorEastAsia" w:eastAsiaTheme="minorEastAsia"/>
                <w:color w:val="000000"/>
                <w:szCs w:val="21"/>
              </w:rPr>
            </w:pPr>
          </w:p>
        </w:tc>
        <w:tc>
          <w:tcPr>
            <w:tcW w:w="7588" w:type="dxa"/>
            <w:tcBorders>
              <w:top w:val="nil"/>
              <w:left w:val="single" w:color="000000" w:sz="8" w:space="0"/>
              <w:bottom w:val="single" w:color="000000" w:sz="8" w:space="0"/>
              <w:right w:val="single" w:color="000000" w:sz="8" w:space="0"/>
            </w:tcBorders>
            <w:vAlign w:val="center"/>
          </w:tcPr>
          <w:p w14:paraId="49FC2583">
            <w:pPr>
              <w:widowControl/>
              <w:spacing w:after="60" w:line="440" w:lineRule="exact"/>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B</w:t>
            </w:r>
            <w:r>
              <w:rPr>
                <w:rFonts w:cs="宋体" w:asciiTheme="minorEastAsia" w:hAnsiTheme="minorEastAsia" w:eastAsiaTheme="minorEastAsia"/>
                <w:color w:val="000000"/>
                <w:kern w:val="0"/>
                <w:szCs w:val="21"/>
              </w:rPr>
              <w:t>.</w:t>
            </w:r>
            <w:r>
              <w:rPr>
                <w:rFonts w:hint="eastAsia" w:cs="宋体" w:asciiTheme="minorEastAsia" w:hAnsiTheme="minorEastAsia" w:eastAsiaTheme="minorEastAsia"/>
                <w:color w:val="000000"/>
                <w:kern w:val="0"/>
                <w:szCs w:val="21"/>
              </w:rPr>
              <w:t>检测温控器自身故障</w:t>
            </w:r>
          </w:p>
        </w:tc>
      </w:tr>
      <w:tr w14:paraId="7FD69FA5">
        <w:tblPrEx>
          <w:tblCellMar>
            <w:top w:w="0" w:type="dxa"/>
            <w:left w:w="108" w:type="dxa"/>
            <w:bottom w:w="0" w:type="dxa"/>
            <w:right w:w="108" w:type="dxa"/>
          </w:tblCellMar>
        </w:tblPrEx>
        <w:trPr>
          <w:trHeight w:val="507" w:hRule="atLeast"/>
        </w:trPr>
        <w:tc>
          <w:tcPr>
            <w:tcW w:w="672" w:type="dxa"/>
            <w:vMerge w:val="continue"/>
            <w:tcBorders>
              <w:top w:val="nil"/>
              <w:left w:val="single" w:color="000000" w:sz="8" w:space="0"/>
              <w:bottom w:val="single" w:color="000000" w:sz="8" w:space="0"/>
              <w:right w:val="single" w:color="000000" w:sz="8" w:space="0"/>
            </w:tcBorders>
            <w:vAlign w:val="bottom"/>
          </w:tcPr>
          <w:p w14:paraId="22AC7BAB">
            <w:pPr>
              <w:spacing w:after="60" w:line="440" w:lineRule="exact"/>
              <w:jc w:val="left"/>
              <w:rPr>
                <w:rFonts w:hint="eastAsia" w:cs="宋体" w:asciiTheme="minorEastAsia" w:hAnsiTheme="minorEastAsia" w:eastAsiaTheme="minorEastAsia"/>
                <w:color w:val="000000"/>
                <w:szCs w:val="21"/>
              </w:rPr>
            </w:pPr>
          </w:p>
        </w:tc>
        <w:tc>
          <w:tcPr>
            <w:tcW w:w="7588" w:type="dxa"/>
            <w:tcBorders>
              <w:top w:val="nil"/>
              <w:left w:val="single" w:color="000000" w:sz="8" w:space="0"/>
              <w:bottom w:val="single" w:color="000000" w:sz="8" w:space="0"/>
              <w:right w:val="single" w:color="000000" w:sz="8" w:space="0"/>
            </w:tcBorders>
            <w:vAlign w:val="center"/>
          </w:tcPr>
          <w:p w14:paraId="4E11116F">
            <w:pPr>
              <w:widowControl/>
              <w:spacing w:after="60" w:line="440" w:lineRule="exact"/>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（4）报警信号</w:t>
            </w:r>
            <w:r>
              <w:rPr>
                <w:rFonts w:cs="宋体" w:asciiTheme="minorEastAsia" w:hAnsiTheme="minorEastAsia" w:eastAsiaTheme="minorEastAsia"/>
                <w:color w:val="000000"/>
                <w:kern w:val="0"/>
                <w:szCs w:val="21"/>
              </w:rPr>
              <w:t>：</w:t>
            </w:r>
          </w:p>
        </w:tc>
      </w:tr>
      <w:tr w14:paraId="4C4C6F8A">
        <w:tblPrEx>
          <w:tblCellMar>
            <w:top w:w="0" w:type="dxa"/>
            <w:left w:w="108" w:type="dxa"/>
            <w:bottom w:w="0" w:type="dxa"/>
            <w:right w:w="108" w:type="dxa"/>
          </w:tblCellMar>
        </w:tblPrEx>
        <w:trPr>
          <w:trHeight w:val="951" w:hRule="atLeast"/>
        </w:trPr>
        <w:tc>
          <w:tcPr>
            <w:tcW w:w="672" w:type="dxa"/>
            <w:vMerge w:val="continue"/>
            <w:tcBorders>
              <w:top w:val="nil"/>
              <w:left w:val="single" w:color="000000" w:sz="8" w:space="0"/>
              <w:bottom w:val="single" w:color="000000" w:sz="8" w:space="0"/>
              <w:right w:val="single" w:color="000000" w:sz="8" w:space="0"/>
            </w:tcBorders>
            <w:vAlign w:val="bottom"/>
          </w:tcPr>
          <w:p w14:paraId="67B7725A">
            <w:pPr>
              <w:spacing w:after="60" w:line="440" w:lineRule="exact"/>
              <w:jc w:val="left"/>
              <w:rPr>
                <w:rFonts w:hint="eastAsia" w:cs="宋体" w:asciiTheme="minorEastAsia" w:hAnsiTheme="minorEastAsia" w:eastAsiaTheme="minorEastAsia"/>
                <w:color w:val="000000"/>
                <w:szCs w:val="21"/>
              </w:rPr>
            </w:pPr>
          </w:p>
        </w:tc>
        <w:tc>
          <w:tcPr>
            <w:tcW w:w="7588" w:type="dxa"/>
            <w:tcBorders>
              <w:top w:val="nil"/>
              <w:left w:val="single" w:color="000000" w:sz="8" w:space="0"/>
              <w:bottom w:val="single" w:color="000000" w:sz="8" w:space="0"/>
              <w:right w:val="single" w:color="000000" w:sz="8" w:space="0"/>
            </w:tcBorders>
            <w:vAlign w:val="center"/>
          </w:tcPr>
          <w:p w14:paraId="03AAD8D1">
            <w:pPr>
              <w:widowControl/>
              <w:spacing w:after="60" w:line="440" w:lineRule="exact"/>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A</w:t>
            </w:r>
            <w:r>
              <w:rPr>
                <w:rFonts w:cs="宋体" w:asciiTheme="minorEastAsia" w:hAnsiTheme="minorEastAsia" w:eastAsiaTheme="minorEastAsia"/>
                <w:color w:val="000000"/>
                <w:kern w:val="0"/>
                <w:szCs w:val="21"/>
              </w:rPr>
              <w:t>.</w:t>
            </w:r>
            <w:r>
              <w:rPr>
                <w:rFonts w:hint="eastAsia" w:cs="宋体" w:asciiTheme="minorEastAsia" w:hAnsiTheme="minorEastAsia" w:eastAsiaTheme="minorEastAsia"/>
                <w:color w:val="000000"/>
                <w:kern w:val="0"/>
                <w:szCs w:val="21"/>
              </w:rPr>
              <w:t>当变压器线圈超过出厂设定值（也可根据用户要求另设）时，发出报警信号，提供无源干接点报警信号。</w:t>
            </w:r>
          </w:p>
        </w:tc>
      </w:tr>
      <w:tr w14:paraId="63633119">
        <w:tblPrEx>
          <w:tblCellMar>
            <w:top w:w="0" w:type="dxa"/>
            <w:left w:w="108" w:type="dxa"/>
            <w:bottom w:w="0" w:type="dxa"/>
            <w:right w:w="108" w:type="dxa"/>
          </w:tblCellMar>
        </w:tblPrEx>
        <w:trPr>
          <w:trHeight w:val="507" w:hRule="atLeast"/>
        </w:trPr>
        <w:tc>
          <w:tcPr>
            <w:tcW w:w="672" w:type="dxa"/>
            <w:vMerge w:val="continue"/>
            <w:tcBorders>
              <w:top w:val="nil"/>
              <w:left w:val="single" w:color="000000" w:sz="8" w:space="0"/>
              <w:bottom w:val="single" w:color="000000" w:sz="8" w:space="0"/>
              <w:right w:val="single" w:color="000000" w:sz="8" w:space="0"/>
            </w:tcBorders>
            <w:vAlign w:val="bottom"/>
          </w:tcPr>
          <w:p w14:paraId="2B5FE204">
            <w:pPr>
              <w:spacing w:after="60" w:line="440" w:lineRule="exact"/>
              <w:jc w:val="left"/>
              <w:rPr>
                <w:rFonts w:hint="eastAsia" w:cs="宋体" w:asciiTheme="minorEastAsia" w:hAnsiTheme="minorEastAsia" w:eastAsiaTheme="minorEastAsia"/>
                <w:color w:val="000000"/>
                <w:szCs w:val="21"/>
              </w:rPr>
            </w:pPr>
          </w:p>
        </w:tc>
        <w:tc>
          <w:tcPr>
            <w:tcW w:w="7588" w:type="dxa"/>
            <w:tcBorders>
              <w:top w:val="nil"/>
              <w:left w:val="single" w:color="000000" w:sz="8" w:space="0"/>
              <w:bottom w:val="single" w:color="000000" w:sz="8" w:space="0"/>
              <w:right w:val="single" w:color="000000" w:sz="8" w:space="0"/>
            </w:tcBorders>
            <w:vAlign w:val="center"/>
          </w:tcPr>
          <w:p w14:paraId="186E87FA">
            <w:pPr>
              <w:widowControl/>
              <w:spacing w:after="60" w:line="440" w:lineRule="exact"/>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B</w:t>
            </w:r>
            <w:r>
              <w:rPr>
                <w:rFonts w:cs="宋体" w:asciiTheme="minorEastAsia" w:hAnsiTheme="minorEastAsia" w:eastAsiaTheme="minorEastAsia"/>
                <w:color w:val="000000"/>
                <w:kern w:val="0"/>
                <w:szCs w:val="21"/>
              </w:rPr>
              <w:t>.</w:t>
            </w:r>
            <w:r>
              <w:rPr>
                <w:rFonts w:hint="eastAsia" w:cs="宋体" w:asciiTheme="minorEastAsia" w:hAnsiTheme="minorEastAsia" w:eastAsiaTheme="minorEastAsia"/>
                <w:color w:val="000000"/>
                <w:kern w:val="0"/>
                <w:szCs w:val="21"/>
              </w:rPr>
              <w:t>当测量线路断路器或温控器自身发生故障时报警。</w:t>
            </w:r>
          </w:p>
        </w:tc>
      </w:tr>
      <w:tr w14:paraId="0DB31ACF">
        <w:tblPrEx>
          <w:tblCellMar>
            <w:top w:w="0" w:type="dxa"/>
            <w:left w:w="108" w:type="dxa"/>
            <w:bottom w:w="0" w:type="dxa"/>
            <w:right w:w="108" w:type="dxa"/>
          </w:tblCellMar>
        </w:tblPrEx>
        <w:trPr>
          <w:trHeight w:val="1013" w:hRule="atLeast"/>
        </w:trPr>
        <w:tc>
          <w:tcPr>
            <w:tcW w:w="672" w:type="dxa"/>
            <w:vMerge w:val="continue"/>
            <w:tcBorders>
              <w:top w:val="nil"/>
              <w:left w:val="single" w:color="000000" w:sz="8" w:space="0"/>
              <w:bottom w:val="single" w:color="000000" w:sz="8" w:space="0"/>
              <w:right w:val="single" w:color="000000" w:sz="8" w:space="0"/>
            </w:tcBorders>
            <w:vAlign w:val="bottom"/>
          </w:tcPr>
          <w:p w14:paraId="6F5F7D85">
            <w:pPr>
              <w:spacing w:after="60" w:line="440" w:lineRule="exact"/>
              <w:jc w:val="left"/>
              <w:rPr>
                <w:rFonts w:hint="eastAsia" w:cs="宋体" w:asciiTheme="minorEastAsia" w:hAnsiTheme="minorEastAsia" w:eastAsiaTheme="minorEastAsia"/>
                <w:color w:val="000000"/>
                <w:szCs w:val="21"/>
              </w:rPr>
            </w:pPr>
          </w:p>
        </w:tc>
        <w:tc>
          <w:tcPr>
            <w:tcW w:w="7588" w:type="dxa"/>
            <w:tcBorders>
              <w:top w:val="nil"/>
              <w:left w:val="single" w:color="000000" w:sz="8" w:space="0"/>
              <w:bottom w:val="single" w:color="000000" w:sz="8" w:space="0"/>
              <w:right w:val="single" w:color="000000" w:sz="8" w:space="0"/>
            </w:tcBorders>
            <w:vAlign w:val="center"/>
          </w:tcPr>
          <w:p w14:paraId="3D5F57AB">
            <w:pPr>
              <w:widowControl/>
              <w:spacing w:after="60" w:line="440" w:lineRule="exact"/>
              <w:textAlignment w:val="center"/>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kern w:val="0"/>
                <w:szCs w:val="21"/>
              </w:rPr>
              <w:t>（5）当变压器低压线圈温度达到140℃或以上（出厂设定，也可根据用户要求另设）时，输出跳闸信号，提供无源干接点跳闸信号。</w:t>
            </w:r>
          </w:p>
        </w:tc>
      </w:tr>
    </w:tbl>
    <w:p w14:paraId="5F4D71C8">
      <w:pPr>
        <w:pStyle w:val="2"/>
      </w:pPr>
    </w:p>
    <w:p w14:paraId="3912FE97">
      <w:pPr>
        <w:pStyle w:val="2"/>
      </w:pPr>
    </w:p>
    <w:p w14:paraId="5354CC7D">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0" w:lineRule="auto"/>
      </w:pPr>
      <w:r>
        <w:separator/>
      </w:r>
    </w:p>
  </w:footnote>
  <w:footnote w:type="continuationSeparator" w:id="1">
    <w:p>
      <w:pPr>
        <w:spacing w:before="0" w:after="0" w:line="30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E16D5B"/>
    <w:multiLevelType w:val="multilevel"/>
    <w:tmpl w:val="04E16D5B"/>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242A027D"/>
    <w:multiLevelType w:val="singleLevel"/>
    <w:tmpl w:val="242A027D"/>
    <w:lvl w:ilvl="0" w:tentative="0">
      <w:start w:val="1"/>
      <w:numFmt w:val="decimal"/>
      <w:lvlText w:val="(%1)"/>
      <w:lvlJc w:val="left"/>
      <w:pPr>
        <w:ind w:left="425" w:hanging="425"/>
      </w:pPr>
    </w:lvl>
  </w:abstractNum>
  <w:abstractNum w:abstractNumId="2">
    <w:nsid w:val="40F00898"/>
    <w:multiLevelType w:val="multilevel"/>
    <w:tmpl w:val="40F0089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1C44832"/>
    <w:multiLevelType w:val="multilevel"/>
    <w:tmpl w:val="41C44832"/>
    <w:lvl w:ilvl="0" w:tentative="0">
      <w:start w:val="1"/>
      <w:numFmt w:val="decimal"/>
      <w:lvlText w:val="%1)"/>
      <w:lvlJc w:val="left"/>
      <w:pPr>
        <w:ind w:left="440" w:hanging="440"/>
      </w:pPr>
      <w:rPr>
        <w:b w:val="0"/>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4D7249FA"/>
    <w:multiLevelType w:val="multilevel"/>
    <w:tmpl w:val="4D7249F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4F11158F"/>
    <w:multiLevelType w:val="multilevel"/>
    <w:tmpl w:val="4F11158F"/>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5E1044D5"/>
    <w:multiLevelType w:val="multilevel"/>
    <w:tmpl w:val="5E1044D5"/>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6D5948BA"/>
    <w:multiLevelType w:val="multilevel"/>
    <w:tmpl w:val="6D5948BA"/>
    <w:lvl w:ilvl="0" w:tentative="0">
      <w:start w:val="1"/>
      <w:numFmt w:val="decimal"/>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 w:numId="3">
    <w:abstractNumId w:val="7"/>
  </w:num>
  <w:num w:numId="4">
    <w:abstractNumId w:val="3"/>
  </w:num>
  <w:num w:numId="5">
    <w:abstractNumId w:val="5"/>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E8A4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Lines="25" w:line="300" w:lineRule="auto"/>
      <w:jc w:val="both"/>
    </w:pPr>
    <w:rPr>
      <w:rFonts w:ascii="Arial" w:hAnsi="Arial" w:eastAsia="宋体" w:cs="Times New Roman"/>
      <w:kern w:val="2"/>
      <w:sz w:val="21"/>
      <w:szCs w:val="24"/>
      <w:lang w:val="en-US" w:eastAsia="zh-CN" w:bidi="ar-SA"/>
    </w:rPr>
  </w:style>
  <w:style w:type="paragraph" w:styleId="3">
    <w:name w:val="heading 1"/>
    <w:basedOn w:val="1"/>
    <w:next w:val="1"/>
    <w:link w:val="9"/>
    <w:qFormat/>
    <w:uiPriority w:val="9"/>
    <w:pPr>
      <w:keepNext/>
      <w:keepLines/>
      <w:spacing w:before="340" w:line="578" w:lineRule="auto"/>
      <w:outlineLvl w:val="0"/>
    </w:pPr>
    <w:rPr>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文档正文"/>
    <w:basedOn w:val="1"/>
    <w:qFormat/>
    <w:uiPriority w:val="0"/>
    <w:pPr>
      <w:spacing w:afterLines="0" w:line="360" w:lineRule="auto"/>
    </w:pPr>
    <w:rPr>
      <w:rFonts w:cs="Arial"/>
      <w:bCs/>
    </w:rPr>
  </w:style>
  <w:style w:type="paragraph" w:styleId="4">
    <w:name w:val="Plain Text"/>
    <w:basedOn w:val="1"/>
    <w:qFormat/>
    <w:uiPriority w:val="0"/>
    <w:pPr>
      <w:spacing w:afterLines="0" w:line="240" w:lineRule="auto"/>
    </w:pPr>
    <w:rPr>
      <w:rFonts w:ascii="宋体" w:hAnsi="Courier New" w:eastAsiaTheme="minorEastAsia" w:cstheme="minorBidi"/>
      <w:szCs w:val="22"/>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1册标题1"/>
    <w:basedOn w:val="1"/>
    <w:next w:val="1"/>
    <w:qFormat/>
    <w:uiPriority w:val="0"/>
    <w:pPr>
      <w:spacing w:beforeLines="50" w:afterLines="50"/>
      <w:jc w:val="center"/>
      <w:outlineLvl w:val="0"/>
    </w:pPr>
    <w:rPr>
      <w:rFonts w:eastAsia="黑体"/>
      <w:b/>
      <w:bCs/>
      <w:sz w:val="48"/>
      <w:szCs w:val="20"/>
    </w:rPr>
  </w:style>
  <w:style w:type="character" w:customStyle="1" w:styleId="9">
    <w:name w:val="标题 1 字符"/>
    <w:basedOn w:val="7"/>
    <w:link w:val="3"/>
    <w:qFormat/>
    <w:uiPriority w:val="0"/>
    <w:rPr>
      <w:b/>
      <w:bCs/>
      <w:kern w:val="44"/>
      <w:sz w:val="44"/>
      <w:szCs w:val="44"/>
    </w:rPr>
  </w:style>
  <w:style w:type="paragraph" w:styleId="10">
    <w:name w:val="List Paragraph"/>
    <w:basedOn w:val="1"/>
    <w:qFormat/>
    <w:uiPriority w:val="0"/>
    <w:pPr>
      <w:spacing w:afterLines="0" w:line="240" w:lineRule="auto"/>
      <w:ind w:firstLine="420" w:firstLineChars="200"/>
    </w:pPr>
    <w:rPr>
      <w:rFonts w:ascii="Calibri" w:hAnsi="Calibri" w:eastAsiaTheme="minorEastAsia" w:cstheme="minorBid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2025-03-13T09:10:57Z</dcterms:created>
  <dc:creator>Administrator</dc:creator>
  <cp:lastModifiedBy>Administrator</cp:lastModifiedBy>
  <dcterms:modified xsi:type="dcterms:W3CDTF">2025-03-13T09:11:00Z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eyJoZGlkIjoiOWUyODI3ZDg3NjU4NzQ3NjJjMDhkZGY2ODVkYzI0NTAiLCJ1c2VySWQiOiI1MDk5NTI0NTYifQ==</vt:lpwstr>
  </property>
  <property fmtid="{D5CDD505-2E9C-101B-9397-08002B2CF9AE}" pid="4" name="ICV">
    <vt:lpwstr>6C108DB2C47C4BB6B1829D8622EC525F_12</vt:lpwstr>
  </property>
</Properties>
</file>