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6"/>
        <w:spacing w:before="120" w:after="120"/>
        <w:rPr>
          <w:rStyle w:val="7"/>
          <w:b w:val="0"/>
          <w:bCs w:val="0"/>
        </w:rPr>
      </w:pPr>
      <w:r>
        <w:rPr>
          <w:rStyle w:val="7"/>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项目名称；2025年福永街道临时维稳安保服务项目</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hint="eastAsia" w:cs="宋体" w:asciiTheme="minorEastAsia" w:hAnsiTheme="minorEastAsia" w:eastAsiaTheme="minorEastAsia"/>
          <w:kern w:val="0"/>
          <w:szCs w:val="21"/>
        </w:rPr>
        <w:t>800,</w:t>
      </w:r>
      <w:r>
        <w:rPr>
          <w:rFonts w:cs="宋体" w:asciiTheme="minorEastAsia" w:hAnsiTheme="minorEastAsia" w:eastAsiaTheme="minorEastAsia"/>
          <w:kern w:val="0"/>
          <w:szCs w:val="21"/>
        </w:rPr>
        <w:t>000</w:t>
      </w:r>
      <w:r>
        <w:rPr>
          <w:rFonts w:hint="eastAsia" w:cs="宋体" w:asciiTheme="minorEastAsia" w:hAnsiTheme="minorEastAsia" w:eastAsiaTheme="minorEastAsia"/>
          <w:kern w:val="0"/>
          <w:szCs w:val="21"/>
        </w:rPr>
        <w:t>.00元，</w:t>
      </w:r>
      <w:r>
        <w:rPr>
          <w:rFonts w:hint="eastAsia" w:asciiTheme="minorEastAsia" w:hAnsiTheme="minorEastAsia" w:eastAsiaTheme="minorEastAsia"/>
          <w:szCs w:val="21"/>
        </w:rPr>
        <w:t>单价预算</w:t>
      </w:r>
      <w:r>
        <w:rPr>
          <w:rFonts w:hint="eastAsia" w:asciiTheme="minorEastAsia" w:hAnsiTheme="minorEastAsia" w:eastAsiaTheme="minorEastAsia"/>
          <w:szCs w:val="21"/>
          <w:lang w:val="en-US" w:eastAsia="zh-CN"/>
        </w:rPr>
        <w:t>每日</w:t>
      </w:r>
      <w:r>
        <w:rPr>
          <w:rFonts w:hint="eastAsia" w:asciiTheme="minorEastAsia" w:hAnsiTheme="minorEastAsia" w:eastAsiaTheme="minorEastAsia"/>
          <w:szCs w:val="21"/>
        </w:rPr>
        <w:t>400元/人/</w:t>
      </w:r>
      <w:r>
        <w:rPr>
          <w:rFonts w:hint="eastAsia" w:asciiTheme="minorEastAsia" w:hAnsiTheme="minorEastAsia" w:eastAsiaTheme="minorEastAsia"/>
          <w:szCs w:val="21"/>
          <w:lang w:val="en-US" w:eastAsia="zh-CN"/>
        </w:rPr>
        <w:t>8小时</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0AB0D08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服务范围；</w:t>
      </w:r>
      <w:r>
        <w:rPr>
          <w:rFonts w:hint="eastAsia" w:asciiTheme="minorEastAsia" w:hAnsiTheme="minorEastAsia" w:eastAsiaTheme="minorEastAsia"/>
          <w:szCs w:val="21"/>
        </w:rPr>
        <w:t>根据街道临时维稳安保通知开展人员及场所的巡查、管控、值守等服务事项，确保辖区安全稳定。</w:t>
      </w:r>
    </w:p>
    <w:p w14:paraId="1596B544">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Theme="minorEastAsia" w:hAnsiTheme="minorEastAsia" w:eastAsiaTheme="minorEastAsia"/>
          <w:szCs w:val="21"/>
        </w:rPr>
        <w:t>自合同签订日期至2025年12月31日。</w:t>
      </w:r>
    </w:p>
    <w:p w14:paraId="326A39F4">
      <w:pPr>
        <w:numPr>
          <w:ilvl w:val="0"/>
          <w:numId w:val="2"/>
        </w:numPr>
        <w:spacing w:afterLines="0" w:line="360" w:lineRule="auto"/>
        <w:ind w:firstLine="422" w:firstLineChars="200"/>
        <w:jc w:val="left"/>
        <w:rPr>
          <w:rFonts w:hint="eastAsia" w:asciiTheme="minorEastAsia" w:hAnsiTheme="minorEastAsia" w:eastAsiaTheme="minorEastAsia"/>
          <w:b/>
          <w:bCs/>
          <w:sz w:val="18"/>
          <w:szCs w:val="21"/>
        </w:rPr>
      </w:pPr>
      <w:r>
        <w:rPr>
          <w:rFonts w:hint="eastAsia" w:asciiTheme="minorEastAsia" w:hAnsiTheme="minorEastAsia" w:eastAsiaTheme="minorEastAsia"/>
          <w:b/>
          <w:szCs w:val="21"/>
        </w:rPr>
        <w:t>服务内容、技术标准、工作质量要求；</w:t>
      </w:r>
      <w:r>
        <w:rPr>
          <w:rFonts w:hint="eastAsia" w:asciiTheme="minorEastAsia" w:hAnsiTheme="minorEastAsia" w:eastAsiaTheme="minorEastAsia"/>
          <w:szCs w:val="21"/>
        </w:rPr>
        <w:t>协助街道开展</w:t>
      </w:r>
      <w:r>
        <w:rPr>
          <w:rFonts w:asciiTheme="minorEastAsia" w:hAnsiTheme="minorEastAsia" w:eastAsiaTheme="minorEastAsia"/>
          <w:szCs w:val="21"/>
        </w:rPr>
        <w:t>稳控重点人群和管控重点场所（必要时需无偿提供交通工具予以支持解决稳控工作）</w:t>
      </w:r>
      <w:r>
        <w:rPr>
          <w:rFonts w:hint="eastAsia" w:asciiTheme="minorEastAsia" w:hAnsiTheme="minorEastAsia" w:eastAsiaTheme="minorEastAsia"/>
          <w:szCs w:val="21"/>
        </w:rPr>
        <w:t>。</w:t>
      </w:r>
    </w:p>
    <w:p w14:paraId="30C221B2">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人员要求（岗位要求、数量）；</w:t>
      </w:r>
      <w:r>
        <w:rPr>
          <w:rFonts w:hint="eastAsia" w:asciiTheme="minorEastAsia" w:hAnsiTheme="minorEastAsia" w:eastAsiaTheme="minorEastAsia"/>
          <w:szCs w:val="21"/>
        </w:rPr>
        <w:t>根据街道临时维稳安保工作需要，在24小时内响应满足安保人员数量要求，年龄：18-40周岁，具备保安相关资格证书，至少3人具备2年以上驾龄。</w:t>
      </w:r>
    </w:p>
    <w:p w14:paraId="70B2E622">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设备要求（设备名称、数量）；</w:t>
      </w:r>
      <w:r>
        <w:rPr>
          <w:rFonts w:hint="eastAsia" w:asciiTheme="minorEastAsia" w:hAnsiTheme="minorEastAsia" w:eastAsiaTheme="minorEastAsia"/>
          <w:szCs w:val="21"/>
        </w:rPr>
        <w:t>提供5座或以上</w:t>
      </w:r>
      <w:r>
        <w:rPr>
          <w:rFonts w:asciiTheme="minorEastAsia" w:hAnsiTheme="minorEastAsia" w:eastAsiaTheme="minorEastAsia"/>
          <w:szCs w:val="21"/>
        </w:rPr>
        <w:t>(</w:t>
      </w:r>
      <w:r>
        <w:rPr>
          <w:rFonts w:hint="eastAsia" w:asciiTheme="minorEastAsia" w:hAnsiTheme="minorEastAsia" w:eastAsiaTheme="minorEastAsia"/>
          <w:szCs w:val="21"/>
        </w:rPr>
        <w:t>各项参数良好，有保险</w:t>
      </w:r>
      <w:r>
        <w:rPr>
          <w:rFonts w:asciiTheme="minorEastAsia" w:hAnsiTheme="minorEastAsia" w:eastAsiaTheme="minorEastAsia"/>
          <w:szCs w:val="21"/>
        </w:rPr>
        <w:t>)</w:t>
      </w:r>
      <w:r>
        <w:rPr>
          <w:rFonts w:hint="eastAsia" w:asciiTheme="minorEastAsia" w:hAnsiTheme="minorEastAsia" w:eastAsiaTheme="minorEastAsia"/>
          <w:szCs w:val="21"/>
        </w:rPr>
        <w:t>小型汽车一辆，用于开展临时维稳安保力量调度，安保人员根据服务需求配备相关工作执勤服装及执法记录仪、对讲机等单兵装备。</w:t>
      </w:r>
    </w:p>
    <w:p w14:paraId="5A0E7D3E">
      <w:pPr>
        <w:numPr>
          <w:ilvl w:val="0"/>
          <w:numId w:val="2"/>
        </w:numPr>
        <w:spacing w:afterLines="0"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考核办法/验收方式；</w:t>
      </w:r>
      <w:r>
        <w:rPr>
          <w:rFonts w:hint="eastAsia" w:asciiTheme="minorEastAsia" w:hAnsiTheme="minorEastAsia" w:eastAsiaTheme="minorEastAsia"/>
          <w:szCs w:val="21"/>
        </w:rPr>
        <w:t>根据每次街道下达临时维稳安保服务通知要求的期限为一期进行考核及结算；服务合同到期结束后进行服务履约考核评价。</w:t>
      </w:r>
    </w:p>
    <w:p w14:paraId="431B1F38">
      <w:pPr>
        <w:numPr>
          <w:ilvl w:val="0"/>
          <w:numId w:val="2"/>
        </w:numPr>
        <w:spacing w:afterLines="0"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报价要求；</w:t>
      </w:r>
      <w:r>
        <w:rPr>
          <w:rFonts w:hint="eastAsia" w:asciiTheme="minorEastAsia" w:hAnsiTheme="minorEastAsia" w:eastAsiaTheme="minorEastAsia"/>
          <w:szCs w:val="21"/>
        </w:rPr>
        <w:t>服务需求人次共计2000人次，根据安保服务人次单价报价计算总价。</w:t>
      </w:r>
    </w:p>
    <w:p w14:paraId="7D80CBAB">
      <w:pPr>
        <w:spacing w:afterLines="0" w:line="360" w:lineRule="auto"/>
        <w:ind w:firstLine="420" w:firstLineChars="200"/>
        <w:jc w:val="left"/>
        <w:rPr>
          <w:rFonts w:hint="eastAsia" w:asciiTheme="minorEastAsia" w:hAnsiTheme="minorEastAsia" w:eastAsiaTheme="minorEastAsia"/>
          <w:szCs w:val="21"/>
        </w:rPr>
      </w:pPr>
      <w:r>
        <w:rPr>
          <w:rFonts w:hint="eastAsia" w:ascii="宋体" w:hAnsi="宋体"/>
          <w:color w:val="000000"/>
          <w:szCs w:val="21"/>
        </w:rPr>
        <w:t>以人民币报价，包括但不限于：人工费、伙食费、住宿费、管理费用、法定税费和合理利润、意外伤害保险、以及不可预见责任风险预备金等依据当时管理情况和责任承担相应赔偿费用等本项目涉及的一切费用。</w:t>
      </w:r>
    </w:p>
    <w:p w14:paraId="2944F257">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r>
        <w:rPr>
          <w:rFonts w:hint="eastAsia" w:asciiTheme="minorEastAsia" w:hAnsiTheme="minorEastAsia" w:eastAsiaTheme="minorEastAsia"/>
          <w:szCs w:val="21"/>
        </w:rPr>
        <w:t>按转账方式分期支付，支付时间按街道下达临时维稳安保服务开始至服务结束后经使用单位核实确认后予以结算，每期费用按服务单价及出勤人次进行结算，累计结算总费用不得超过中标标的价。</w:t>
      </w:r>
    </w:p>
    <w:p w14:paraId="4867BB46">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1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2025-03-06T04:08:15Z</dcterms:created>
  <dc:creator>Administrator</dc:creator>
  <cp:lastModifiedBy>Administrator</cp:lastModifiedBy>
  <dcterms:modified xsi:type="dcterms:W3CDTF">2025-03-06T04:08:18Z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1D93BEC725A141F9937DD325B6814007_12</vt:lpwstr>
  </property>
</Properties>
</file>