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B76BC">
      <w:pPr>
        <w:pStyle w:val="3"/>
        <w:numPr>
          <w:numId w:val="0"/>
        </w:numPr>
        <w:spacing w:before="0" w:after="0" w:line="360" w:lineRule="auto"/>
        <w:ind w:leftChars="0"/>
        <w:jc w:val="center"/>
        <w:rPr>
          <w:rFonts w:hint="eastAsia" w:ascii="黑体" w:hAnsi="黑体" w:eastAsia="黑体"/>
          <w:color w:val="000000"/>
        </w:rPr>
      </w:pPr>
      <w:bookmarkStart w:id="0" w:name="_Toc10337"/>
      <w:bookmarkStart w:id="10" w:name="_GoBack"/>
      <w:bookmarkEnd w:id="10"/>
      <w:r>
        <w:rPr>
          <w:rFonts w:ascii="黑体" w:hAnsi="黑体" w:eastAsia="黑体"/>
          <w:color w:val="000000"/>
        </w:rPr>
        <w:fldChar w:fldCharType="begin"/>
      </w:r>
      <w:r>
        <w:rPr>
          <w:rFonts w:ascii="黑体" w:hAnsi="黑体" w:eastAsia="黑体"/>
          <w:color w:val="000000"/>
        </w:rPr>
        <w:instrText xml:space="preserve"> HYPERLINK \l "_Toc488762883" </w:instrText>
      </w:r>
      <w:r>
        <w:rPr>
          <w:rFonts w:ascii="黑体" w:hAnsi="黑体" w:eastAsia="黑体"/>
          <w:color w:val="000000"/>
        </w:rPr>
        <w:fldChar w:fldCharType="separate"/>
      </w:r>
      <w:r>
        <w:rPr>
          <w:rFonts w:hint="eastAsia" w:ascii="黑体" w:hAnsi="黑体" w:eastAsia="黑体"/>
          <w:color w:val="000000"/>
        </w:rPr>
        <w:t>招标项目需求</w:t>
      </w:r>
      <w:r>
        <w:rPr>
          <w:rFonts w:ascii="黑体" w:hAnsi="黑体" w:eastAsia="黑体"/>
          <w:color w:val="000000"/>
        </w:rPr>
        <w:fldChar w:fldCharType="end"/>
      </w:r>
      <w:bookmarkEnd w:id="0"/>
    </w:p>
    <w:p w14:paraId="5BA36027">
      <w:pPr>
        <w:pStyle w:val="4"/>
        <w:numPr>
          <w:ilvl w:val="0"/>
          <w:numId w:val="1"/>
        </w:numPr>
        <w:adjustRightInd/>
        <w:spacing w:line="360" w:lineRule="auto"/>
        <w:jc w:val="both"/>
        <w:textAlignment w:val="auto"/>
        <w:rPr>
          <w:rFonts w:hint="eastAsia"/>
          <w:sz w:val="28"/>
          <w:szCs w:val="28"/>
        </w:rPr>
      </w:pPr>
      <w:bookmarkStart w:id="1" w:name="sixxiangmugaisu"/>
      <w:bookmarkEnd w:id="1"/>
      <w:bookmarkStart w:id="2" w:name="_Toc14578"/>
      <w:bookmarkStart w:id="3" w:name="_Toc266949377"/>
      <w:r>
        <w:rPr>
          <w:rFonts w:hint="eastAsia"/>
          <w:sz w:val="28"/>
          <w:szCs w:val="28"/>
        </w:rPr>
        <w:t>项目概况</w:t>
      </w:r>
      <w:bookmarkEnd w:id="2"/>
    </w:p>
    <w:p w14:paraId="0423BEA3">
      <w:pPr>
        <w:pStyle w:val="9"/>
        <w:spacing w:line="360" w:lineRule="auto"/>
        <w:ind w:firstLine="560"/>
        <w:rPr>
          <w:rFonts w:hint="eastAsia"/>
        </w:rPr>
      </w:pPr>
      <w:r>
        <w:rPr>
          <w:rFonts w:hint="eastAsia" w:ascii="宋体" w:hAnsi="宋体" w:cs="宋体"/>
          <w:bCs/>
          <w:sz w:val="28"/>
          <w:szCs w:val="28"/>
        </w:rPr>
        <w:t>随着土地审批权限层级提高，省自然资源厅对建设用地报批实现了全流程、标准化监督管理，农转用审查报批工作规范化要求高、链条长、专业性强。龙岗区规划国土管理部门承担的职责及工作量骤增，专业性更强。为确保建设用地报批（含农转用报批）工作的正常开展，避免对后续土地供应及批后监管产生影响，亟需选取技术单位提供专业技术服务</w:t>
      </w:r>
      <w:r>
        <w:rPr>
          <w:rFonts w:hint="eastAsia" w:ascii="宋体" w:hAnsi="宋体" w:cs="宋体"/>
          <w:sz w:val="28"/>
          <w:szCs w:val="28"/>
        </w:rPr>
        <w:t>。</w:t>
      </w:r>
    </w:p>
    <w:p w14:paraId="0F4CEFDD">
      <w:pPr>
        <w:pStyle w:val="4"/>
        <w:numPr>
          <w:ilvl w:val="0"/>
          <w:numId w:val="1"/>
        </w:numPr>
        <w:adjustRightInd/>
        <w:spacing w:line="360" w:lineRule="auto"/>
        <w:jc w:val="both"/>
        <w:textAlignment w:val="auto"/>
        <w:rPr>
          <w:rFonts w:hint="eastAsia"/>
          <w:sz w:val="28"/>
          <w:szCs w:val="28"/>
        </w:rPr>
      </w:pPr>
      <w:bookmarkStart w:id="4" w:name="_Toc31748"/>
      <w:r>
        <w:rPr>
          <w:rFonts w:hint="eastAsia"/>
          <w:sz w:val="28"/>
          <w:szCs w:val="28"/>
        </w:rPr>
        <w:t>服务内容及要求</w:t>
      </w:r>
      <w:bookmarkEnd w:id="4"/>
    </w:p>
    <w:p w14:paraId="7ED09CC4">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（一）工作目的</w:t>
      </w:r>
    </w:p>
    <w:p w14:paraId="5EE55317">
      <w:pPr>
        <w:spacing w:line="360" w:lineRule="auto"/>
        <w:ind w:firstLine="560" w:firstLineChars="200"/>
        <w:outlineLvl w:val="9"/>
        <w:rPr>
          <w:rFonts w:ascii="宋体" w:hAnsi="宋体" w:cs="宋体"/>
          <w:bCs/>
          <w:sz w:val="28"/>
          <w:szCs w:val="28"/>
        </w:rPr>
      </w:pPr>
      <w:bookmarkStart w:id="5" w:name="_Toc13053"/>
      <w:bookmarkStart w:id="6" w:name="_Toc6580"/>
      <w:bookmarkStart w:id="7" w:name="_Toc3783"/>
      <w:r>
        <w:rPr>
          <w:rFonts w:hint="eastAsia" w:ascii="宋体" w:hAnsi="宋体" w:cs="宋体"/>
          <w:bCs/>
          <w:sz w:val="28"/>
          <w:szCs w:val="28"/>
        </w:rPr>
        <w:t>梳理历年龙岗区农转用报批情况，建立台账，全面掌握辖区内用地的审批情况，为今后用地管理提供资料依据；及时、高效提供农转用报批技术支持，</w:t>
      </w:r>
      <w:bookmarkEnd w:id="5"/>
      <w:bookmarkEnd w:id="6"/>
      <w:bookmarkEnd w:id="7"/>
      <w:r>
        <w:rPr>
          <w:rFonts w:hint="eastAsia" w:ascii="宋体" w:hAnsi="宋体" w:cs="宋体"/>
          <w:bCs/>
          <w:sz w:val="28"/>
          <w:szCs w:val="28"/>
        </w:rPr>
        <w:t>缩短审批总时限，为推动重大项目落地及经济发展，促进民生设施及其它项目用地供应提供支撑。</w:t>
      </w:r>
    </w:p>
    <w:p w14:paraId="5A5DA2C5">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（二）工作范围</w:t>
      </w:r>
    </w:p>
    <w:p w14:paraId="0027BF87">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龙岗区辖区范围。</w:t>
      </w:r>
    </w:p>
    <w:p w14:paraId="7C6DAF0B">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（三）工作内容</w:t>
      </w:r>
    </w:p>
    <w:p w14:paraId="2E7FE0FF">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w:t>
      </w:r>
      <w:r>
        <w:rPr>
          <w:rFonts w:ascii="宋体" w:hAnsi="宋体" w:cs="宋体"/>
          <w:bCs/>
          <w:sz w:val="28"/>
          <w:szCs w:val="28"/>
        </w:rPr>
        <w:t>前期准备</w:t>
      </w:r>
    </w:p>
    <w:p w14:paraId="5BA70D26">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（1）资料收集整理。包括拟供应项目稳定范围红线及相关协办意见和会议纪要</w:t>
      </w:r>
      <w:r>
        <w:rPr>
          <w:rFonts w:ascii="宋体" w:hAnsi="宋体" w:cs="宋体"/>
          <w:bCs/>
          <w:sz w:val="28"/>
          <w:szCs w:val="28"/>
        </w:rPr>
        <w:t>等。</w:t>
      </w:r>
    </w:p>
    <w:p w14:paraId="1301E324">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数据整理分析。</w:t>
      </w:r>
    </w:p>
    <w:p w14:paraId="629FE9FE">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1）坐标处理。将拟供应项目的坐标转换为</w:t>
      </w:r>
      <w:r>
        <w:rPr>
          <w:rFonts w:ascii="宋体" w:hAnsi="宋体" w:cs="宋体"/>
          <w:bCs/>
          <w:sz w:val="28"/>
          <w:szCs w:val="28"/>
        </w:rPr>
        <w:t>广东省</w:t>
      </w:r>
      <w:r>
        <w:rPr>
          <w:rFonts w:hint="eastAsia" w:ascii="宋体" w:hAnsi="宋体" w:cs="宋体"/>
          <w:bCs/>
          <w:sz w:val="28"/>
          <w:szCs w:val="28"/>
        </w:rPr>
        <w:t>国土空间用途管制综合应用</w:t>
      </w:r>
      <w:r>
        <w:rPr>
          <w:rFonts w:ascii="宋体" w:hAnsi="宋体" w:cs="宋体"/>
          <w:bCs/>
          <w:sz w:val="28"/>
          <w:szCs w:val="28"/>
        </w:rPr>
        <w:t>系统</w:t>
      </w:r>
      <w:r>
        <w:rPr>
          <w:rFonts w:hint="eastAsia" w:ascii="宋体" w:hAnsi="宋体" w:cs="宋体"/>
          <w:bCs/>
          <w:sz w:val="28"/>
          <w:szCs w:val="28"/>
        </w:rPr>
        <w:t>要求的坐标文件格式。</w:t>
      </w:r>
    </w:p>
    <w:p w14:paraId="5D6C2220">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2）初步分析拟供应项目的地类数据</w:t>
      </w:r>
    </w:p>
    <w:p w14:paraId="70DAFF82">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根据《自然资源部办公厅关于以“第三次全国国土调查”成果为基础做好建设用地审查报批地类认定的通知》（自然资办函〔2022〕411号）的要求，分析拟供应用地的地类并协助建立拟供应用地计划报批农转用清单。</w:t>
      </w:r>
    </w:p>
    <w:p w14:paraId="659645E4">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2、地类溯源分析</w:t>
      </w:r>
    </w:p>
    <w:p w14:paraId="50879DEE">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协助开展地类追溯还原分析，溯源至2009年。依据溯源分析结果编制还原报告、最新年度土地利用现状图、变更年度土地利用现状图。</w:t>
      </w:r>
    </w:p>
    <w:p w14:paraId="315C93C4">
      <w:pPr>
        <w:spacing w:line="360" w:lineRule="auto"/>
        <w:ind w:firstLine="560" w:firstLineChars="200"/>
        <w:outlineLvl w:val="9"/>
        <w:rPr>
          <w:rFonts w:hint="eastAsia" w:ascii="宋体" w:hAnsi="宋体" w:eastAsia="宋体" w:cs="宋体"/>
          <w:bCs/>
          <w:sz w:val="28"/>
          <w:szCs w:val="28"/>
        </w:rPr>
      </w:pPr>
      <w:r>
        <w:rPr>
          <w:rFonts w:hint="eastAsia" w:ascii="宋体" w:hAnsi="宋体" w:eastAsia="宋体" w:cs="宋体"/>
          <w:bCs/>
          <w:sz w:val="28"/>
          <w:szCs w:val="28"/>
        </w:rPr>
        <w:t>3、协助开展初步审查</w:t>
      </w:r>
    </w:p>
    <w:p w14:paraId="3168A124">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协助核查拟供应项目用地是否存在以下情形：是否有立项依据文件、</w:t>
      </w:r>
      <w:r>
        <w:rPr>
          <w:rFonts w:ascii="宋体" w:hAnsi="宋体" w:cs="宋体"/>
          <w:bCs/>
          <w:sz w:val="28"/>
          <w:szCs w:val="28"/>
        </w:rPr>
        <w:t>是否符合国家供地政策、是否符合用地标准要求、是否符合土地利用总体规划、</w:t>
      </w:r>
      <w:r>
        <w:rPr>
          <w:rFonts w:hint="eastAsia" w:ascii="宋体" w:hAnsi="宋体" w:cs="宋体"/>
          <w:bCs/>
          <w:sz w:val="28"/>
          <w:szCs w:val="28"/>
        </w:rPr>
        <w:t>是否符合国土空间规划、</w:t>
      </w:r>
      <w:r>
        <w:rPr>
          <w:rFonts w:ascii="宋体" w:hAnsi="宋体" w:cs="宋体"/>
          <w:bCs/>
          <w:sz w:val="28"/>
          <w:szCs w:val="28"/>
        </w:rPr>
        <w:t>是否符合年度土地利用计划、是否占用耕地、是否占用永久基本农田、</w:t>
      </w:r>
      <w:r>
        <w:rPr>
          <w:rFonts w:hint="eastAsia" w:ascii="宋体" w:hAnsi="宋体" w:cs="宋体"/>
          <w:bCs/>
          <w:sz w:val="28"/>
          <w:szCs w:val="28"/>
        </w:rPr>
        <w:t>是否为国有</w:t>
      </w:r>
      <w:r>
        <w:rPr>
          <w:rFonts w:ascii="宋体" w:hAnsi="宋体" w:cs="宋体"/>
          <w:bCs/>
          <w:sz w:val="28"/>
          <w:szCs w:val="28"/>
        </w:rPr>
        <w:t>、是否</w:t>
      </w:r>
      <w:r>
        <w:rPr>
          <w:rFonts w:hint="eastAsia" w:ascii="宋体" w:hAnsi="宋体" w:cs="宋体"/>
          <w:bCs/>
          <w:sz w:val="28"/>
          <w:szCs w:val="28"/>
        </w:rPr>
        <w:t>涉及占用林业主管部门管理的林地</w:t>
      </w:r>
      <w:r>
        <w:rPr>
          <w:rFonts w:ascii="宋体" w:hAnsi="宋体" w:cs="宋体"/>
          <w:bCs/>
          <w:sz w:val="28"/>
          <w:szCs w:val="28"/>
        </w:rPr>
        <w:t>等。</w:t>
      </w:r>
    </w:p>
    <w:p w14:paraId="4169DCBE">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分析拟供应项目的轻重缓急程度和农转用报批规则前置条件符合程度，以此完善计划报批农转用的项目清单。</w:t>
      </w:r>
    </w:p>
    <w:p w14:paraId="09DB1038">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4、</w:t>
      </w:r>
      <w:r>
        <w:rPr>
          <w:rFonts w:ascii="宋体" w:hAnsi="宋体" w:cs="宋体"/>
          <w:bCs/>
          <w:sz w:val="28"/>
          <w:szCs w:val="28"/>
        </w:rPr>
        <w:t>现场查勘</w:t>
      </w:r>
    </w:p>
    <w:p w14:paraId="450156C5">
      <w:pPr>
        <w:spacing w:line="360" w:lineRule="auto"/>
        <w:ind w:firstLine="560" w:firstLineChars="200"/>
        <w:outlineLvl w:val="9"/>
        <w:rPr>
          <w:rFonts w:ascii="宋体" w:hAnsi="宋体" w:cs="宋体"/>
          <w:bCs/>
          <w:sz w:val="28"/>
          <w:szCs w:val="28"/>
        </w:rPr>
      </w:pPr>
      <w:r>
        <w:rPr>
          <w:rFonts w:ascii="宋体" w:hAnsi="宋体" w:cs="宋体"/>
          <w:bCs/>
          <w:sz w:val="28"/>
          <w:szCs w:val="28"/>
        </w:rPr>
        <w:t>对</w:t>
      </w:r>
      <w:r>
        <w:rPr>
          <w:rFonts w:hint="eastAsia" w:ascii="宋体" w:hAnsi="宋体" w:cs="宋体"/>
          <w:bCs/>
          <w:sz w:val="28"/>
          <w:szCs w:val="28"/>
        </w:rPr>
        <w:t>拟组卷</w:t>
      </w:r>
      <w:r>
        <w:rPr>
          <w:rFonts w:ascii="宋体" w:hAnsi="宋体" w:cs="宋体"/>
          <w:bCs/>
          <w:sz w:val="28"/>
          <w:szCs w:val="28"/>
        </w:rPr>
        <w:t>报批</w:t>
      </w:r>
      <w:r>
        <w:rPr>
          <w:rFonts w:hint="eastAsia" w:ascii="宋体" w:hAnsi="宋体" w:cs="宋体"/>
          <w:bCs/>
          <w:sz w:val="28"/>
          <w:szCs w:val="28"/>
        </w:rPr>
        <w:t>农转用</w:t>
      </w:r>
      <w:r>
        <w:rPr>
          <w:rFonts w:ascii="宋体" w:hAnsi="宋体" w:cs="宋体"/>
          <w:bCs/>
          <w:sz w:val="28"/>
          <w:szCs w:val="28"/>
        </w:rPr>
        <w:t>的项目进行</w:t>
      </w:r>
      <w:r>
        <w:rPr>
          <w:rFonts w:hint="eastAsia" w:ascii="宋体" w:hAnsi="宋体" w:cs="宋体"/>
          <w:bCs/>
          <w:sz w:val="28"/>
          <w:szCs w:val="28"/>
        </w:rPr>
        <w:t>现场勘查，包括</w:t>
      </w:r>
      <w:r>
        <w:rPr>
          <w:rFonts w:ascii="宋体" w:hAnsi="宋体" w:cs="宋体"/>
          <w:bCs/>
          <w:sz w:val="28"/>
          <w:szCs w:val="28"/>
        </w:rPr>
        <w:t>现场拍照、存档</w:t>
      </w:r>
      <w:r>
        <w:rPr>
          <w:rFonts w:hint="eastAsia" w:ascii="宋体" w:hAnsi="宋体" w:cs="宋体"/>
          <w:bCs/>
          <w:sz w:val="28"/>
          <w:szCs w:val="28"/>
        </w:rPr>
        <w:t>，填写</w:t>
      </w:r>
      <w:r>
        <w:rPr>
          <w:rFonts w:ascii="宋体" w:hAnsi="宋体" w:cs="宋体"/>
          <w:bCs/>
          <w:sz w:val="28"/>
          <w:szCs w:val="28"/>
        </w:rPr>
        <w:t>现场查勘表。</w:t>
      </w:r>
    </w:p>
    <w:p w14:paraId="62E7AF5D">
      <w:pPr>
        <w:spacing w:line="360" w:lineRule="auto"/>
        <w:ind w:firstLine="560" w:firstLineChars="200"/>
        <w:outlineLvl w:val="9"/>
        <w:rPr>
          <w:rFonts w:hint="eastAsia" w:ascii="宋体" w:hAnsi="宋体" w:eastAsia="宋体" w:cs="宋体"/>
          <w:bCs/>
          <w:sz w:val="28"/>
          <w:szCs w:val="28"/>
        </w:rPr>
      </w:pPr>
      <w:r>
        <w:rPr>
          <w:rFonts w:hint="eastAsia" w:ascii="宋体" w:hAnsi="宋体" w:eastAsia="宋体" w:cs="宋体"/>
          <w:bCs/>
          <w:sz w:val="28"/>
          <w:szCs w:val="28"/>
        </w:rPr>
        <w:t>5、协助编制农转用组卷报批材料</w:t>
      </w:r>
    </w:p>
    <w:p w14:paraId="3A0457A3">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协助编制</w:t>
      </w:r>
      <w:r>
        <w:rPr>
          <w:rFonts w:ascii="宋体" w:hAnsi="宋体" w:cs="宋体"/>
          <w:bCs/>
          <w:sz w:val="28"/>
          <w:szCs w:val="28"/>
        </w:rPr>
        <w:t>报</w:t>
      </w:r>
      <w:r>
        <w:rPr>
          <w:rFonts w:hint="eastAsia" w:ascii="宋体" w:hAnsi="宋体" w:cs="宋体"/>
          <w:bCs/>
          <w:sz w:val="28"/>
          <w:szCs w:val="28"/>
        </w:rPr>
        <w:t>市</w:t>
      </w:r>
      <w:r>
        <w:rPr>
          <w:rFonts w:ascii="宋体" w:hAnsi="宋体" w:cs="宋体"/>
          <w:bCs/>
          <w:sz w:val="28"/>
          <w:szCs w:val="28"/>
        </w:rPr>
        <w:t>政府</w:t>
      </w:r>
      <w:r>
        <w:rPr>
          <w:rFonts w:hint="eastAsia" w:ascii="宋体" w:hAnsi="宋体" w:cs="宋体"/>
          <w:bCs/>
          <w:sz w:val="28"/>
          <w:szCs w:val="28"/>
        </w:rPr>
        <w:t>审核的农转用组卷</w:t>
      </w:r>
      <w:r>
        <w:rPr>
          <w:rFonts w:ascii="宋体" w:hAnsi="宋体" w:cs="宋体"/>
          <w:bCs/>
          <w:sz w:val="28"/>
          <w:szCs w:val="28"/>
        </w:rPr>
        <w:t>材料</w:t>
      </w:r>
      <w:r>
        <w:rPr>
          <w:rFonts w:hint="eastAsia" w:ascii="宋体" w:hAnsi="宋体" w:cs="宋体"/>
          <w:bCs/>
          <w:sz w:val="28"/>
          <w:szCs w:val="28"/>
        </w:rPr>
        <w:t>。</w:t>
      </w:r>
    </w:p>
    <w:p w14:paraId="2B35A305">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（1）编制城市分</w:t>
      </w:r>
      <w:r>
        <w:rPr>
          <w:rFonts w:ascii="宋体" w:hAnsi="宋体" w:cs="宋体"/>
          <w:bCs/>
          <w:sz w:val="28"/>
          <w:szCs w:val="28"/>
        </w:rPr>
        <w:t>批次用地</w:t>
      </w:r>
      <w:r>
        <w:rPr>
          <w:rFonts w:hint="eastAsia" w:ascii="宋体" w:hAnsi="宋体" w:cs="宋体"/>
          <w:bCs/>
          <w:sz w:val="28"/>
          <w:szCs w:val="28"/>
        </w:rPr>
        <w:t>的</w:t>
      </w:r>
      <w:r>
        <w:rPr>
          <w:rFonts w:ascii="宋体" w:hAnsi="宋体" w:cs="宋体"/>
          <w:bCs/>
          <w:sz w:val="28"/>
          <w:szCs w:val="28"/>
        </w:rPr>
        <w:t>审查报告。主要包括</w:t>
      </w:r>
      <w:r>
        <w:rPr>
          <w:rFonts w:hint="eastAsia" w:ascii="宋体" w:hAnsi="宋体" w:cs="宋体"/>
          <w:bCs/>
          <w:sz w:val="28"/>
          <w:szCs w:val="28"/>
        </w:rPr>
        <w:t>组卷</w:t>
      </w:r>
      <w:r>
        <w:rPr>
          <w:rFonts w:ascii="宋体" w:hAnsi="宋体" w:cs="宋体"/>
          <w:bCs/>
          <w:sz w:val="28"/>
          <w:szCs w:val="28"/>
        </w:rPr>
        <w:t>项目用地基本情况</w:t>
      </w:r>
      <w:r>
        <w:rPr>
          <w:rFonts w:hint="eastAsia" w:ascii="宋体" w:hAnsi="宋体" w:cs="宋体"/>
          <w:bCs/>
          <w:sz w:val="28"/>
          <w:szCs w:val="28"/>
        </w:rPr>
        <w:t>、是否符合申请新增建设用地条件、用地规划情况、土地利用计划情况、补充耕地情况、缴纳新增建设用地土地有偿使用费情况、有关审核许可手续、是否涉及违法用地</w:t>
      </w:r>
      <w:r>
        <w:rPr>
          <w:rFonts w:ascii="宋体" w:hAnsi="宋体" w:cs="宋体"/>
          <w:bCs/>
          <w:sz w:val="28"/>
          <w:szCs w:val="28"/>
        </w:rPr>
        <w:t>等。</w:t>
      </w:r>
    </w:p>
    <w:p w14:paraId="1E700C31">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（2）编制农用地转用方案</w:t>
      </w:r>
      <w:r>
        <w:rPr>
          <w:rFonts w:ascii="宋体" w:hAnsi="宋体" w:cs="宋体"/>
          <w:bCs/>
          <w:sz w:val="28"/>
          <w:szCs w:val="28"/>
        </w:rPr>
        <w:t>。主要包括项目用地基本情况、</w:t>
      </w:r>
      <w:r>
        <w:rPr>
          <w:rFonts w:hint="eastAsia" w:ascii="宋体" w:hAnsi="宋体" w:cs="宋体"/>
          <w:bCs/>
          <w:sz w:val="28"/>
          <w:szCs w:val="28"/>
        </w:rPr>
        <w:t>申请转用面积明细</w:t>
      </w:r>
      <w:r>
        <w:rPr>
          <w:rFonts w:ascii="宋体" w:hAnsi="宋体" w:cs="宋体"/>
          <w:bCs/>
          <w:sz w:val="28"/>
          <w:szCs w:val="28"/>
        </w:rPr>
        <w:t>、</w:t>
      </w:r>
      <w:r>
        <w:rPr>
          <w:rFonts w:hint="eastAsia" w:ascii="宋体" w:hAnsi="宋体" w:cs="宋体"/>
          <w:bCs/>
          <w:sz w:val="28"/>
          <w:szCs w:val="28"/>
        </w:rPr>
        <w:t>国土空间规划</w:t>
      </w:r>
      <w:r>
        <w:rPr>
          <w:rFonts w:ascii="宋体" w:hAnsi="宋体" w:cs="宋体"/>
          <w:bCs/>
          <w:sz w:val="28"/>
          <w:szCs w:val="28"/>
        </w:rPr>
        <w:t>情况、</w:t>
      </w:r>
      <w:r>
        <w:rPr>
          <w:rFonts w:hint="eastAsia" w:ascii="宋体" w:hAnsi="宋体" w:cs="宋体"/>
          <w:bCs/>
          <w:sz w:val="28"/>
          <w:szCs w:val="28"/>
        </w:rPr>
        <w:t>土地利用计划</w:t>
      </w:r>
      <w:r>
        <w:rPr>
          <w:rFonts w:ascii="宋体" w:hAnsi="宋体" w:cs="宋体"/>
          <w:bCs/>
          <w:sz w:val="28"/>
          <w:szCs w:val="28"/>
        </w:rPr>
        <w:t>情况、</w:t>
      </w:r>
      <w:r>
        <w:rPr>
          <w:rFonts w:hint="eastAsia" w:ascii="宋体" w:hAnsi="宋体" w:cs="宋体"/>
          <w:bCs/>
          <w:sz w:val="28"/>
          <w:szCs w:val="28"/>
        </w:rPr>
        <w:t>补充耕地情况</w:t>
      </w:r>
      <w:r>
        <w:rPr>
          <w:rFonts w:ascii="宋体" w:hAnsi="宋体" w:cs="宋体"/>
          <w:bCs/>
          <w:sz w:val="28"/>
          <w:szCs w:val="28"/>
        </w:rPr>
        <w:t>等</w:t>
      </w:r>
      <w:r>
        <w:rPr>
          <w:rFonts w:hint="eastAsia" w:ascii="宋体" w:hAnsi="宋体" w:cs="宋体"/>
          <w:bCs/>
          <w:sz w:val="28"/>
          <w:szCs w:val="28"/>
        </w:rPr>
        <w:t>，还有市、县人民政府自然资源主管部门审核意见签章、市、县人民政府审核意见签章</w:t>
      </w:r>
      <w:r>
        <w:rPr>
          <w:rFonts w:ascii="宋体" w:hAnsi="宋体" w:cs="宋体"/>
          <w:bCs/>
          <w:sz w:val="28"/>
          <w:szCs w:val="28"/>
        </w:rPr>
        <w:t>。</w:t>
      </w:r>
    </w:p>
    <w:p w14:paraId="78A079EA">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（3）编制《土地</w:t>
      </w:r>
      <w:r>
        <w:rPr>
          <w:rFonts w:ascii="宋体" w:hAnsi="宋体" w:cs="宋体"/>
          <w:bCs/>
          <w:sz w:val="28"/>
          <w:szCs w:val="28"/>
        </w:rPr>
        <w:t>勘测定界</w:t>
      </w:r>
      <w:r>
        <w:rPr>
          <w:rFonts w:hint="eastAsia" w:ascii="宋体" w:hAnsi="宋体" w:cs="宋体"/>
          <w:bCs/>
          <w:sz w:val="28"/>
          <w:szCs w:val="28"/>
        </w:rPr>
        <w:t>技术</w:t>
      </w:r>
      <w:r>
        <w:rPr>
          <w:rFonts w:ascii="宋体" w:hAnsi="宋体" w:cs="宋体"/>
          <w:bCs/>
          <w:sz w:val="28"/>
          <w:szCs w:val="28"/>
        </w:rPr>
        <w:t>报告</w:t>
      </w:r>
      <w:r>
        <w:rPr>
          <w:rFonts w:hint="eastAsia" w:ascii="宋体" w:hAnsi="宋体" w:cs="宋体"/>
          <w:bCs/>
          <w:sz w:val="28"/>
          <w:szCs w:val="28"/>
        </w:rPr>
        <w:t>书》</w:t>
      </w:r>
      <w:r>
        <w:rPr>
          <w:rFonts w:ascii="宋体" w:hAnsi="宋体" w:cs="宋体"/>
          <w:bCs/>
          <w:sz w:val="28"/>
          <w:szCs w:val="28"/>
        </w:rPr>
        <w:t>。按照《土地勘测定界规程》TF/T1008-2007技术标准制作</w:t>
      </w:r>
      <w:r>
        <w:rPr>
          <w:rFonts w:hint="eastAsia" w:ascii="宋体" w:hAnsi="宋体" w:cs="宋体"/>
          <w:bCs/>
          <w:sz w:val="28"/>
          <w:szCs w:val="28"/>
        </w:rPr>
        <w:t>《土地</w:t>
      </w:r>
      <w:r>
        <w:rPr>
          <w:rFonts w:ascii="宋体" w:hAnsi="宋体" w:cs="宋体"/>
          <w:bCs/>
          <w:sz w:val="28"/>
          <w:szCs w:val="28"/>
        </w:rPr>
        <w:t>勘测定界</w:t>
      </w:r>
      <w:r>
        <w:rPr>
          <w:rFonts w:hint="eastAsia" w:ascii="宋体" w:hAnsi="宋体" w:cs="宋体"/>
          <w:bCs/>
          <w:sz w:val="28"/>
          <w:szCs w:val="28"/>
        </w:rPr>
        <w:t>技术</w:t>
      </w:r>
      <w:r>
        <w:rPr>
          <w:rFonts w:ascii="宋体" w:hAnsi="宋体" w:cs="宋体"/>
          <w:bCs/>
          <w:sz w:val="28"/>
          <w:szCs w:val="28"/>
        </w:rPr>
        <w:t>报告</w:t>
      </w:r>
      <w:r>
        <w:rPr>
          <w:rFonts w:hint="eastAsia" w:ascii="宋体" w:hAnsi="宋体" w:cs="宋体"/>
          <w:bCs/>
          <w:sz w:val="28"/>
          <w:szCs w:val="28"/>
        </w:rPr>
        <w:t>书》</w:t>
      </w:r>
      <w:r>
        <w:rPr>
          <w:rFonts w:ascii="宋体" w:hAnsi="宋体" w:cs="宋体"/>
          <w:bCs/>
          <w:sz w:val="28"/>
          <w:szCs w:val="28"/>
        </w:rPr>
        <w:t>。具体包括：《土地勘测定界表》</w:t>
      </w:r>
      <w:r>
        <w:rPr>
          <w:rFonts w:hint="eastAsia" w:ascii="宋体" w:hAnsi="宋体" w:cs="宋体"/>
          <w:bCs/>
          <w:sz w:val="28"/>
          <w:szCs w:val="28"/>
        </w:rPr>
        <w:t>、</w:t>
      </w:r>
      <w:r>
        <w:rPr>
          <w:rFonts w:ascii="宋体" w:hAnsi="宋体" w:cs="宋体"/>
          <w:bCs/>
          <w:sz w:val="28"/>
          <w:szCs w:val="28"/>
        </w:rPr>
        <w:t>《土地分类面积表》</w:t>
      </w:r>
      <w:r>
        <w:rPr>
          <w:rFonts w:hint="eastAsia" w:ascii="宋体" w:hAnsi="宋体" w:cs="宋体"/>
          <w:bCs/>
          <w:sz w:val="28"/>
          <w:szCs w:val="28"/>
        </w:rPr>
        <w:t>、</w:t>
      </w:r>
      <w:r>
        <w:rPr>
          <w:rFonts w:ascii="宋体" w:hAnsi="宋体" w:cs="宋体"/>
          <w:bCs/>
          <w:sz w:val="28"/>
          <w:szCs w:val="28"/>
        </w:rPr>
        <w:t>《界址点坐标成果表》</w:t>
      </w:r>
      <w:r>
        <w:rPr>
          <w:rFonts w:hint="eastAsia" w:ascii="宋体" w:hAnsi="宋体" w:cs="宋体"/>
          <w:bCs/>
          <w:sz w:val="28"/>
          <w:szCs w:val="28"/>
        </w:rPr>
        <w:t>、</w:t>
      </w:r>
      <w:r>
        <w:rPr>
          <w:rFonts w:ascii="宋体" w:hAnsi="宋体" w:cs="宋体"/>
          <w:bCs/>
          <w:sz w:val="28"/>
          <w:szCs w:val="28"/>
        </w:rPr>
        <w:t>项目用地地理位置图</w:t>
      </w:r>
      <w:r>
        <w:rPr>
          <w:rFonts w:hint="eastAsia" w:ascii="宋体" w:hAnsi="宋体" w:cs="宋体"/>
          <w:bCs/>
          <w:sz w:val="28"/>
          <w:szCs w:val="28"/>
        </w:rPr>
        <w:t>、勘测定界图、勘测变更年度地类图等</w:t>
      </w:r>
      <w:r>
        <w:rPr>
          <w:rFonts w:ascii="宋体" w:hAnsi="宋体" w:cs="宋体"/>
          <w:bCs/>
          <w:sz w:val="28"/>
          <w:szCs w:val="28"/>
        </w:rPr>
        <w:t>。</w:t>
      </w:r>
    </w:p>
    <w:p w14:paraId="31E97A74">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（4）</w:t>
      </w:r>
      <w:r>
        <w:rPr>
          <w:rFonts w:ascii="宋体" w:hAnsi="宋体" w:cs="宋体"/>
          <w:bCs/>
          <w:sz w:val="28"/>
          <w:szCs w:val="28"/>
        </w:rPr>
        <w:t>完善耕地占补平衡工作。</w:t>
      </w:r>
      <w:r>
        <w:rPr>
          <w:rFonts w:hint="eastAsia" w:ascii="宋体" w:hAnsi="宋体" w:cs="宋体"/>
          <w:bCs/>
          <w:sz w:val="28"/>
          <w:szCs w:val="28"/>
        </w:rPr>
        <w:t>编制</w:t>
      </w:r>
      <w:r>
        <w:rPr>
          <w:rFonts w:ascii="宋体" w:hAnsi="宋体" w:cs="宋体"/>
          <w:bCs/>
          <w:sz w:val="28"/>
          <w:szCs w:val="28"/>
        </w:rPr>
        <w:t>耕地占补平衡分析表</w:t>
      </w:r>
      <w:r>
        <w:rPr>
          <w:rFonts w:hint="eastAsia" w:ascii="宋体" w:hAnsi="宋体" w:cs="宋体"/>
          <w:bCs/>
          <w:sz w:val="28"/>
          <w:szCs w:val="28"/>
        </w:rPr>
        <w:t>，</w:t>
      </w:r>
      <w:r>
        <w:rPr>
          <w:rFonts w:ascii="宋体" w:hAnsi="宋体" w:cs="宋体"/>
          <w:bCs/>
          <w:sz w:val="28"/>
          <w:szCs w:val="28"/>
        </w:rPr>
        <w:t>并填报“耕地占补平衡动态监管系统”</w:t>
      </w:r>
      <w:r>
        <w:rPr>
          <w:rFonts w:hint="eastAsia" w:ascii="宋体" w:hAnsi="宋体" w:cs="宋体"/>
          <w:bCs/>
          <w:sz w:val="28"/>
          <w:szCs w:val="28"/>
        </w:rPr>
        <w:t>，挂钩耕地占补平衡指标</w:t>
      </w:r>
      <w:r>
        <w:rPr>
          <w:rFonts w:ascii="宋体" w:hAnsi="宋体" w:cs="宋体"/>
          <w:bCs/>
          <w:sz w:val="28"/>
          <w:szCs w:val="28"/>
        </w:rPr>
        <w:t>。</w:t>
      </w:r>
    </w:p>
    <w:p w14:paraId="67A9640D">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（5）其他必要材料。</w:t>
      </w:r>
      <w:r>
        <w:rPr>
          <w:rFonts w:ascii="宋体" w:hAnsi="宋体" w:cs="宋体"/>
          <w:bCs/>
          <w:sz w:val="28"/>
          <w:szCs w:val="28"/>
        </w:rPr>
        <w:t>包括</w:t>
      </w:r>
      <w:r>
        <w:rPr>
          <w:rFonts w:hint="eastAsia" w:ascii="宋体" w:hAnsi="宋体" w:cs="宋体"/>
          <w:bCs/>
          <w:sz w:val="28"/>
          <w:szCs w:val="28"/>
        </w:rPr>
        <w:t>编制</w:t>
      </w:r>
      <w:r>
        <w:rPr>
          <w:rFonts w:ascii="宋体" w:hAnsi="宋体" w:cs="宋体"/>
          <w:bCs/>
          <w:sz w:val="28"/>
          <w:szCs w:val="28"/>
        </w:rPr>
        <w:t>土地权属说明</w:t>
      </w:r>
      <w:r>
        <w:rPr>
          <w:rFonts w:hint="eastAsia" w:ascii="宋体" w:hAnsi="宋体" w:cs="宋体"/>
          <w:bCs/>
          <w:sz w:val="28"/>
          <w:szCs w:val="28"/>
        </w:rPr>
        <w:t>、</w:t>
      </w:r>
      <w:r>
        <w:rPr>
          <w:rFonts w:ascii="宋体" w:hAnsi="宋体" w:cs="宋体"/>
          <w:bCs/>
          <w:sz w:val="28"/>
          <w:szCs w:val="28"/>
        </w:rPr>
        <w:t>建设拟征（占）地土地权属情况汇总表</w:t>
      </w:r>
      <w:r>
        <w:rPr>
          <w:rFonts w:hint="eastAsia" w:ascii="宋体" w:hAnsi="宋体" w:cs="宋体"/>
          <w:bCs/>
          <w:sz w:val="28"/>
          <w:szCs w:val="28"/>
        </w:rPr>
        <w:t>、国有土地属政府管辖的说明、纳入国土空间规划的说明、国土空间规划三区三线示意图、国土空间规划用地用海示意图、符合城市总体规划的说明、项目控制性详细规划示意图等；收集同意项目用地的证明、城市规划四线行业主管部门意见材料、林地审核同意书、耕作层剥离再利用方案、土地监察部门关于违法用地情况的材料等</w:t>
      </w:r>
      <w:r>
        <w:rPr>
          <w:rFonts w:ascii="宋体" w:hAnsi="宋体" w:cs="宋体"/>
          <w:bCs/>
          <w:sz w:val="28"/>
          <w:szCs w:val="28"/>
        </w:rPr>
        <w:t>。</w:t>
      </w:r>
    </w:p>
    <w:p w14:paraId="6EC42AA9">
      <w:pPr>
        <w:spacing w:line="360" w:lineRule="auto"/>
        <w:ind w:firstLine="560" w:firstLineChars="200"/>
        <w:outlineLvl w:val="9"/>
        <w:rPr>
          <w:rFonts w:hint="eastAsia" w:ascii="宋体" w:hAnsi="宋体" w:eastAsia="宋体" w:cs="宋体"/>
          <w:bCs/>
          <w:sz w:val="28"/>
          <w:szCs w:val="28"/>
        </w:rPr>
      </w:pPr>
      <w:r>
        <w:rPr>
          <w:rFonts w:hint="eastAsia" w:ascii="宋体" w:hAnsi="宋体" w:eastAsia="宋体" w:cs="宋体"/>
          <w:bCs/>
          <w:sz w:val="28"/>
          <w:szCs w:val="28"/>
        </w:rPr>
        <w:t>6、协助完成新增建设用地指标预扣</w:t>
      </w:r>
    </w:p>
    <w:p w14:paraId="75FA80D7">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协助准备指标预扣所需的相关材料，协助开展系统上报工作。</w:t>
      </w:r>
    </w:p>
    <w:p w14:paraId="51F82DD0">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7、协助完成备案工作</w:t>
      </w:r>
    </w:p>
    <w:p w14:paraId="2328CFC8">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包括</w:t>
      </w:r>
      <w:r>
        <w:rPr>
          <w:rFonts w:ascii="宋体" w:hAnsi="宋体" w:cs="宋体"/>
          <w:bCs/>
          <w:sz w:val="28"/>
          <w:szCs w:val="28"/>
        </w:rPr>
        <w:t>编制报</w:t>
      </w:r>
      <w:r>
        <w:rPr>
          <w:rFonts w:hint="eastAsia" w:ascii="宋体" w:hAnsi="宋体" w:cs="宋体"/>
          <w:bCs/>
          <w:sz w:val="28"/>
          <w:szCs w:val="28"/>
        </w:rPr>
        <w:t>市</w:t>
      </w:r>
      <w:r>
        <w:rPr>
          <w:rFonts w:ascii="宋体" w:hAnsi="宋体" w:cs="宋体"/>
          <w:bCs/>
          <w:sz w:val="28"/>
          <w:szCs w:val="28"/>
        </w:rPr>
        <w:t>政府提请批复的相关材料</w:t>
      </w:r>
      <w:r>
        <w:rPr>
          <w:rFonts w:hint="eastAsia" w:ascii="宋体" w:hAnsi="宋体" w:cs="宋体"/>
          <w:bCs/>
          <w:sz w:val="28"/>
          <w:szCs w:val="28"/>
        </w:rPr>
        <w:t>并完成系统备案。</w:t>
      </w:r>
    </w:p>
    <w:p w14:paraId="7D04F64C">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w:t>
      </w:r>
      <w:r>
        <w:rPr>
          <w:rFonts w:ascii="宋体" w:hAnsi="宋体" w:cs="宋体"/>
          <w:bCs/>
          <w:sz w:val="28"/>
          <w:szCs w:val="28"/>
        </w:rPr>
        <w:t>编制报</w:t>
      </w:r>
      <w:r>
        <w:rPr>
          <w:rFonts w:hint="eastAsia" w:ascii="宋体" w:hAnsi="宋体" w:cs="宋体"/>
          <w:bCs/>
          <w:sz w:val="28"/>
          <w:szCs w:val="28"/>
        </w:rPr>
        <w:t>市</w:t>
      </w:r>
      <w:r>
        <w:rPr>
          <w:rFonts w:ascii="宋体" w:hAnsi="宋体" w:cs="宋体"/>
          <w:bCs/>
          <w:sz w:val="28"/>
          <w:szCs w:val="28"/>
        </w:rPr>
        <w:t>政府提请批复的相关材料</w:t>
      </w:r>
    </w:p>
    <w:p w14:paraId="50041B65">
      <w:pPr>
        <w:spacing w:line="360" w:lineRule="auto"/>
        <w:ind w:firstLine="560" w:firstLineChars="200"/>
        <w:outlineLvl w:val="9"/>
        <w:rPr>
          <w:rFonts w:ascii="宋体" w:hAnsi="宋体" w:cs="宋体"/>
          <w:bCs/>
          <w:sz w:val="28"/>
          <w:szCs w:val="28"/>
        </w:rPr>
      </w:pPr>
      <w:r>
        <w:rPr>
          <w:rFonts w:ascii="宋体" w:hAnsi="宋体" w:cs="宋体"/>
          <w:bCs/>
          <w:sz w:val="28"/>
          <w:szCs w:val="28"/>
        </w:rPr>
        <w:t>拟定《关于提请批复深圳市202</w:t>
      </w:r>
      <w:r>
        <w:rPr>
          <w:rFonts w:hint="eastAsia" w:ascii="宋体" w:hAnsi="宋体" w:cs="宋体"/>
          <w:bCs/>
          <w:sz w:val="28"/>
          <w:szCs w:val="28"/>
        </w:rPr>
        <w:t>5</w:t>
      </w:r>
      <w:r>
        <w:rPr>
          <w:rFonts w:ascii="宋体" w:hAnsi="宋体" w:cs="宋体"/>
          <w:bCs/>
          <w:sz w:val="28"/>
          <w:szCs w:val="28"/>
        </w:rPr>
        <w:t>年度第*批次</w:t>
      </w:r>
      <w:r>
        <w:rPr>
          <w:rFonts w:hint="eastAsia" w:ascii="宋体" w:hAnsi="宋体" w:cs="宋体"/>
          <w:bCs/>
          <w:sz w:val="28"/>
          <w:szCs w:val="28"/>
        </w:rPr>
        <w:t>城市建设用地</w:t>
      </w:r>
      <w:r>
        <w:rPr>
          <w:rFonts w:ascii="宋体" w:hAnsi="宋体" w:cs="宋体"/>
          <w:bCs/>
          <w:sz w:val="28"/>
          <w:szCs w:val="28"/>
        </w:rPr>
        <w:t>的请示》</w:t>
      </w:r>
      <w:r>
        <w:rPr>
          <w:rFonts w:hint="eastAsia" w:ascii="宋体" w:hAnsi="宋体" w:cs="宋体"/>
          <w:bCs/>
          <w:sz w:val="28"/>
          <w:szCs w:val="28"/>
        </w:rPr>
        <w:t>、</w:t>
      </w:r>
      <w:r>
        <w:rPr>
          <w:rFonts w:ascii="宋体" w:hAnsi="宋体" w:cs="宋体"/>
          <w:bCs/>
          <w:sz w:val="28"/>
          <w:szCs w:val="28"/>
        </w:rPr>
        <w:t>《</w:t>
      </w:r>
      <w:r>
        <w:rPr>
          <w:rFonts w:hint="eastAsia" w:ascii="宋体" w:hAnsi="宋体" w:cs="宋体"/>
          <w:bCs/>
          <w:sz w:val="28"/>
          <w:szCs w:val="28"/>
        </w:rPr>
        <w:t>市</w:t>
      </w:r>
      <w:r>
        <w:rPr>
          <w:rFonts w:ascii="宋体" w:hAnsi="宋体" w:cs="宋体"/>
          <w:bCs/>
          <w:sz w:val="28"/>
          <w:szCs w:val="28"/>
        </w:rPr>
        <w:t>人民政府关于202</w:t>
      </w:r>
      <w:r>
        <w:rPr>
          <w:rFonts w:hint="eastAsia" w:ascii="宋体" w:hAnsi="宋体" w:cs="宋体"/>
          <w:bCs/>
          <w:sz w:val="28"/>
          <w:szCs w:val="28"/>
        </w:rPr>
        <w:t>5</w:t>
      </w:r>
      <w:r>
        <w:rPr>
          <w:rFonts w:ascii="宋体" w:hAnsi="宋体" w:cs="宋体"/>
          <w:bCs/>
          <w:sz w:val="28"/>
          <w:szCs w:val="28"/>
        </w:rPr>
        <w:t>年第*批次</w:t>
      </w:r>
      <w:r>
        <w:rPr>
          <w:rFonts w:hint="eastAsia" w:ascii="宋体" w:hAnsi="宋体" w:cs="宋体"/>
          <w:bCs/>
          <w:sz w:val="28"/>
          <w:szCs w:val="28"/>
        </w:rPr>
        <w:t>城市建设用地</w:t>
      </w:r>
      <w:r>
        <w:rPr>
          <w:rFonts w:ascii="宋体" w:hAnsi="宋体" w:cs="宋体"/>
          <w:bCs/>
          <w:sz w:val="28"/>
          <w:szCs w:val="28"/>
        </w:rPr>
        <w:t>的批复（代拟稿）》、《</w:t>
      </w:r>
      <w:r>
        <w:rPr>
          <w:rFonts w:hint="eastAsia" w:ascii="宋体" w:hAnsi="宋体" w:cs="宋体"/>
          <w:bCs/>
          <w:sz w:val="28"/>
          <w:szCs w:val="28"/>
        </w:rPr>
        <w:t>农用地转用方案</w:t>
      </w:r>
      <w:r>
        <w:rPr>
          <w:rFonts w:ascii="宋体" w:hAnsi="宋体" w:cs="宋体"/>
          <w:bCs/>
          <w:sz w:val="28"/>
          <w:szCs w:val="28"/>
        </w:rPr>
        <w:t>》、《城市分批次耕地占补平衡分析表》、《耕地占补平衡挂钩信息确认单》、《</w:t>
      </w:r>
      <w:r>
        <w:rPr>
          <w:rFonts w:hint="eastAsia" w:ascii="宋体" w:hAnsi="宋体" w:cs="宋体"/>
          <w:bCs/>
          <w:sz w:val="28"/>
          <w:szCs w:val="28"/>
        </w:rPr>
        <w:t>新增建设用地有偿使用费缴费凭证</w:t>
      </w:r>
      <w:r>
        <w:rPr>
          <w:rFonts w:ascii="宋体" w:hAnsi="宋体" w:cs="宋体"/>
          <w:bCs/>
          <w:sz w:val="28"/>
          <w:szCs w:val="28"/>
        </w:rPr>
        <w:t>》。</w:t>
      </w:r>
    </w:p>
    <w:p w14:paraId="66415AE8">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w:t>
      </w:r>
      <w:r>
        <w:rPr>
          <w:rFonts w:ascii="宋体" w:hAnsi="宋体" w:cs="宋体"/>
          <w:bCs/>
          <w:sz w:val="28"/>
          <w:szCs w:val="28"/>
        </w:rPr>
        <w:t>备案</w:t>
      </w:r>
    </w:p>
    <w:p w14:paraId="3A2DE1B2">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根据《广东省自然资源厅关于规范建设用地备案工作的通知（粤自然资管制〔2022〕18号）》的要求，城市分</w:t>
      </w:r>
      <w:r>
        <w:rPr>
          <w:rFonts w:ascii="宋体" w:hAnsi="宋体" w:cs="宋体"/>
          <w:bCs/>
          <w:sz w:val="28"/>
          <w:szCs w:val="28"/>
        </w:rPr>
        <w:t>批次用地</w:t>
      </w:r>
      <w:r>
        <w:rPr>
          <w:rFonts w:hint="eastAsia" w:ascii="宋体" w:hAnsi="宋体" w:cs="宋体"/>
          <w:bCs/>
          <w:sz w:val="28"/>
          <w:szCs w:val="28"/>
        </w:rPr>
        <w:t>经市政府批准后两个工作日内在</w:t>
      </w:r>
      <w:r>
        <w:rPr>
          <w:rFonts w:ascii="宋体" w:hAnsi="宋体" w:cs="宋体"/>
          <w:bCs/>
          <w:sz w:val="28"/>
          <w:szCs w:val="28"/>
        </w:rPr>
        <w:t>广东省</w:t>
      </w:r>
      <w:r>
        <w:rPr>
          <w:rFonts w:hint="eastAsia" w:ascii="宋体" w:hAnsi="宋体" w:cs="宋体"/>
          <w:bCs/>
          <w:sz w:val="28"/>
          <w:szCs w:val="28"/>
        </w:rPr>
        <w:t>国土空间用途管制综合应用</w:t>
      </w:r>
      <w:r>
        <w:rPr>
          <w:rFonts w:ascii="宋体" w:hAnsi="宋体" w:cs="宋体"/>
          <w:bCs/>
          <w:sz w:val="28"/>
          <w:szCs w:val="28"/>
        </w:rPr>
        <w:t>系统</w:t>
      </w:r>
      <w:r>
        <w:rPr>
          <w:rFonts w:hint="eastAsia" w:ascii="宋体" w:hAnsi="宋体" w:cs="宋体"/>
          <w:bCs/>
          <w:sz w:val="28"/>
          <w:szCs w:val="28"/>
        </w:rPr>
        <w:t>提交备案。</w:t>
      </w:r>
      <w:r>
        <w:rPr>
          <w:rFonts w:ascii="宋体" w:hAnsi="宋体" w:cs="宋体"/>
          <w:bCs/>
          <w:sz w:val="28"/>
          <w:szCs w:val="28"/>
        </w:rPr>
        <w:t>提交备案的材料</w:t>
      </w:r>
      <w:r>
        <w:rPr>
          <w:rFonts w:hint="eastAsia" w:ascii="宋体" w:hAnsi="宋体" w:cs="宋体"/>
          <w:bCs/>
          <w:sz w:val="28"/>
          <w:szCs w:val="28"/>
        </w:rPr>
        <w:t>按城市分批次用地备案材料清单准备，包括所有组卷材料和用地批准文件</w:t>
      </w:r>
      <w:r>
        <w:rPr>
          <w:rFonts w:ascii="宋体" w:hAnsi="宋体" w:cs="宋体"/>
          <w:bCs/>
          <w:sz w:val="28"/>
          <w:szCs w:val="28"/>
        </w:rPr>
        <w:t>。</w:t>
      </w:r>
    </w:p>
    <w:p w14:paraId="11443AAE">
      <w:pPr>
        <w:spacing w:line="360" w:lineRule="auto"/>
        <w:ind w:firstLine="560" w:firstLineChars="200"/>
        <w:outlineLvl w:val="9"/>
        <w:rPr>
          <w:rFonts w:hint="eastAsia" w:ascii="宋体" w:hAnsi="宋体" w:eastAsia="宋体" w:cs="宋体"/>
          <w:bCs/>
          <w:sz w:val="28"/>
          <w:szCs w:val="28"/>
        </w:rPr>
      </w:pPr>
      <w:r>
        <w:rPr>
          <w:rFonts w:hint="eastAsia" w:ascii="宋体" w:hAnsi="宋体" w:eastAsia="宋体" w:cs="宋体"/>
          <w:bCs/>
          <w:sz w:val="28"/>
          <w:szCs w:val="28"/>
        </w:rPr>
        <w:t>8、做好数据统计工作及建立台账</w:t>
      </w:r>
    </w:p>
    <w:p w14:paraId="01267D4F">
      <w:pPr>
        <w:spacing w:line="360" w:lineRule="auto"/>
        <w:ind w:firstLine="560" w:firstLineChars="200"/>
        <w:outlineLvl w:val="9"/>
        <w:rPr>
          <w:rFonts w:ascii="宋体" w:hAnsi="宋体" w:cs="宋体"/>
          <w:bCs/>
          <w:sz w:val="28"/>
          <w:szCs w:val="28"/>
        </w:rPr>
      </w:pPr>
      <w:r>
        <w:rPr>
          <w:rFonts w:ascii="宋体" w:hAnsi="宋体" w:cs="宋体"/>
          <w:bCs/>
          <w:sz w:val="28"/>
          <w:szCs w:val="28"/>
        </w:rPr>
        <w:t>按月梳理本局本月已批用地数据，包括已批用地信息表、已批用地矢量数据,协助将相关数据上报市规划和自然资源局。建立单选项目报批进度明细表，建立2025年度龙岗区建设用地报批（含农转用报批）台账。</w:t>
      </w:r>
    </w:p>
    <w:p w14:paraId="6C1BF959">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（四）工作成果</w:t>
      </w:r>
    </w:p>
    <w:p w14:paraId="1A33163A">
      <w:pPr>
        <w:spacing w:line="360" w:lineRule="auto"/>
        <w:ind w:firstLine="560" w:firstLineChars="200"/>
        <w:outlineLvl w:val="9"/>
        <w:rPr>
          <w:rFonts w:ascii="宋体" w:hAnsi="宋体" w:cs="宋体"/>
          <w:bCs/>
          <w:sz w:val="28"/>
          <w:szCs w:val="28"/>
        </w:rPr>
      </w:pPr>
      <w:bookmarkStart w:id="8" w:name="_Toc72424733"/>
      <w:r>
        <w:rPr>
          <w:rFonts w:hint="eastAsia" w:ascii="宋体" w:hAnsi="宋体" w:cs="宋体"/>
          <w:bCs/>
          <w:sz w:val="28"/>
          <w:szCs w:val="28"/>
        </w:rPr>
        <w:t>1、《2025年度龙岗区建设用地报批（含农转用报批）技术服务工作报告》（含台账）；</w:t>
      </w:r>
    </w:p>
    <w:p w14:paraId="00DE4650">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2、《2025年龙岗区各批次建设用地报批（含农转用报批）材料汇编》。</w:t>
      </w:r>
    </w:p>
    <w:p w14:paraId="71C016B9">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以上成果1提交文本及电子文档各三套，成果2提交电子文档三套。</w:t>
      </w:r>
    </w:p>
    <w:p w14:paraId="1BF35C5D">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（五）工作进度</w:t>
      </w:r>
      <w:bookmarkEnd w:id="8"/>
    </w:p>
    <w:p w14:paraId="0DF60BB6">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本项目将于2025年正式签订合同后启动，于2025年11月30日前完成并结题。</w:t>
      </w:r>
    </w:p>
    <w:tbl>
      <w:tblPr>
        <w:tblStyle w:val="7"/>
        <w:tblW w:w="9405" w:type="dxa"/>
        <w:tblInd w:w="-261" w:type="dxa"/>
        <w:tblLayout w:type="fixed"/>
        <w:tblCellMar>
          <w:top w:w="0" w:type="dxa"/>
          <w:left w:w="108" w:type="dxa"/>
          <w:bottom w:w="0" w:type="dxa"/>
          <w:right w:w="108" w:type="dxa"/>
        </w:tblCellMar>
      </w:tblPr>
      <w:tblGrid>
        <w:gridCol w:w="660"/>
        <w:gridCol w:w="1215"/>
        <w:gridCol w:w="2460"/>
        <w:gridCol w:w="1605"/>
        <w:gridCol w:w="1485"/>
        <w:gridCol w:w="1980"/>
      </w:tblGrid>
      <w:tr w14:paraId="2FD3DD89">
        <w:tblPrEx>
          <w:tblCellMar>
            <w:top w:w="0" w:type="dxa"/>
            <w:left w:w="108" w:type="dxa"/>
            <w:bottom w:w="0" w:type="dxa"/>
            <w:right w:w="108" w:type="dxa"/>
          </w:tblCellMar>
        </w:tblPrEx>
        <w:trPr>
          <w:trHeight w:val="513" w:hRule="atLeast"/>
          <w:tblHeader/>
        </w:trPr>
        <w:tc>
          <w:tcPr>
            <w:tcW w:w="660" w:type="dxa"/>
            <w:tcBorders>
              <w:top w:val="single" w:color="auto" w:sz="4" w:space="0"/>
              <w:left w:val="single" w:color="auto" w:sz="4" w:space="0"/>
              <w:bottom w:val="single" w:color="auto" w:sz="4" w:space="0"/>
              <w:right w:val="single" w:color="auto" w:sz="4" w:space="0"/>
            </w:tcBorders>
            <w:noWrap w:val="0"/>
            <w:vAlign w:val="center"/>
          </w:tcPr>
          <w:p w14:paraId="17040812">
            <w:pPr>
              <w:widowControl/>
              <w:jc w:val="center"/>
              <w:outlineLvl w:val="9"/>
              <w:rPr>
                <w:rFonts w:ascii="仿宋" w:hAnsi="仿宋" w:eastAsia="仿宋" w:cs="仿宋"/>
                <w:b/>
                <w:bCs/>
                <w:kern w:val="0"/>
                <w:sz w:val="21"/>
                <w:szCs w:val="21"/>
              </w:rPr>
            </w:pPr>
            <w:r>
              <w:rPr>
                <w:rFonts w:hint="eastAsia" w:ascii="仿宋" w:hAnsi="仿宋" w:eastAsia="仿宋" w:cs="仿宋"/>
                <w:b/>
                <w:bCs/>
                <w:kern w:val="0"/>
                <w:sz w:val="21"/>
                <w:szCs w:val="21"/>
              </w:rPr>
              <w:t>序号</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6FE42AE">
            <w:pPr>
              <w:widowControl/>
              <w:jc w:val="center"/>
              <w:outlineLvl w:val="9"/>
              <w:rPr>
                <w:rFonts w:ascii="仿宋" w:hAnsi="仿宋" w:eastAsia="仿宋" w:cs="仿宋"/>
                <w:b/>
                <w:bCs/>
                <w:kern w:val="0"/>
                <w:sz w:val="21"/>
                <w:szCs w:val="21"/>
              </w:rPr>
            </w:pPr>
            <w:r>
              <w:rPr>
                <w:rFonts w:hint="eastAsia" w:ascii="仿宋" w:hAnsi="仿宋" w:eastAsia="仿宋" w:cs="仿宋"/>
                <w:b/>
                <w:bCs/>
                <w:kern w:val="0"/>
                <w:sz w:val="21"/>
                <w:szCs w:val="21"/>
              </w:rPr>
              <w:t>工作阶段</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6B00CA8C">
            <w:pPr>
              <w:widowControl/>
              <w:jc w:val="center"/>
              <w:outlineLvl w:val="9"/>
              <w:rPr>
                <w:rFonts w:ascii="仿宋" w:hAnsi="仿宋" w:eastAsia="仿宋" w:cs="仿宋"/>
                <w:b/>
                <w:bCs/>
                <w:kern w:val="0"/>
                <w:sz w:val="21"/>
                <w:szCs w:val="21"/>
              </w:rPr>
            </w:pPr>
            <w:r>
              <w:rPr>
                <w:rFonts w:hint="eastAsia" w:ascii="仿宋" w:hAnsi="仿宋" w:eastAsia="仿宋" w:cs="仿宋"/>
                <w:b/>
                <w:bCs/>
                <w:kern w:val="0"/>
                <w:sz w:val="21"/>
                <w:szCs w:val="21"/>
              </w:rPr>
              <w:t>成果构成</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7683BD4E">
            <w:pPr>
              <w:widowControl/>
              <w:jc w:val="center"/>
              <w:outlineLvl w:val="9"/>
              <w:rPr>
                <w:rFonts w:ascii="仿宋" w:hAnsi="仿宋" w:eastAsia="仿宋" w:cs="仿宋"/>
                <w:b/>
                <w:bCs/>
                <w:kern w:val="0"/>
                <w:sz w:val="21"/>
                <w:szCs w:val="21"/>
              </w:rPr>
            </w:pPr>
            <w:r>
              <w:rPr>
                <w:rFonts w:hint="eastAsia" w:ascii="仿宋" w:hAnsi="仿宋" w:eastAsia="仿宋" w:cs="仿宋"/>
                <w:b/>
                <w:bCs/>
                <w:kern w:val="0"/>
                <w:sz w:val="21"/>
                <w:szCs w:val="21"/>
              </w:rPr>
              <w:t>数量</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4C90C3B">
            <w:pPr>
              <w:widowControl/>
              <w:jc w:val="center"/>
              <w:outlineLvl w:val="9"/>
              <w:rPr>
                <w:rFonts w:ascii="仿宋" w:hAnsi="仿宋" w:eastAsia="仿宋" w:cs="仿宋"/>
                <w:b/>
                <w:bCs/>
                <w:kern w:val="0"/>
                <w:sz w:val="21"/>
                <w:szCs w:val="21"/>
              </w:rPr>
            </w:pPr>
            <w:r>
              <w:rPr>
                <w:rFonts w:hint="eastAsia" w:ascii="仿宋" w:hAnsi="仿宋" w:eastAsia="仿宋" w:cs="仿宋"/>
                <w:b/>
                <w:bCs/>
                <w:kern w:val="0"/>
                <w:sz w:val="21"/>
                <w:szCs w:val="21"/>
              </w:rPr>
              <w:t>提交时间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8F59DCE">
            <w:pPr>
              <w:widowControl/>
              <w:jc w:val="center"/>
              <w:outlineLvl w:val="9"/>
              <w:rPr>
                <w:rFonts w:ascii="仿宋" w:hAnsi="仿宋" w:eastAsia="仿宋" w:cs="仿宋"/>
                <w:b/>
                <w:bCs/>
                <w:kern w:val="0"/>
                <w:sz w:val="21"/>
                <w:szCs w:val="21"/>
              </w:rPr>
            </w:pPr>
            <w:r>
              <w:rPr>
                <w:rFonts w:hint="eastAsia" w:ascii="仿宋" w:hAnsi="仿宋" w:eastAsia="仿宋" w:cs="仿宋"/>
                <w:b/>
                <w:bCs/>
                <w:kern w:val="0"/>
                <w:sz w:val="21"/>
                <w:szCs w:val="21"/>
              </w:rPr>
              <w:t>验收方式</w:t>
            </w:r>
          </w:p>
        </w:tc>
      </w:tr>
      <w:tr w14:paraId="31D8B152">
        <w:tblPrEx>
          <w:tblCellMar>
            <w:top w:w="0" w:type="dxa"/>
            <w:left w:w="108" w:type="dxa"/>
            <w:bottom w:w="0" w:type="dxa"/>
            <w:right w:w="108" w:type="dxa"/>
          </w:tblCellMar>
        </w:tblPrEx>
        <w:trPr>
          <w:trHeight w:val="97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69E7FB71">
            <w:pPr>
              <w:widowControl/>
              <w:spacing w:line="276" w:lineRule="auto"/>
              <w:jc w:val="center"/>
              <w:outlineLvl w:val="9"/>
              <w:rPr>
                <w:rFonts w:ascii="仿宋" w:hAnsi="仿宋" w:eastAsia="仿宋" w:cs="仿宋"/>
                <w:b/>
                <w:kern w:val="0"/>
                <w:sz w:val="21"/>
                <w:szCs w:val="21"/>
              </w:rPr>
            </w:pPr>
            <w:r>
              <w:rPr>
                <w:rFonts w:hint="eastAsia" w:ascii="仿宋" w:hAnsi="仿宋" w:eastAsia="仿宋" w:cs="仿宋"/>
                <w:b/>
                <w:kern w:val="0"/>
                <w:sz w:val="21"/>
                <w:szCs w:val="21"/>
              </w:rPr>
              <w:t>1</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3E458B68">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前期准备</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4AD9C277">
            <w:pPr>
              <w:pStyle w:val="6"/>
              <w:tabs>
                <w:tab w:val="left" w:pos="540"/>
              </w:tabs>
              <w:snapToGrid w:val="0"/>
              <w:spacing w:line="276" w:lineRule="auto"/>
              <w:jc w:val="center"/>
              <w:outlineLvl w:val="9"/>
              <w:rPr>
                <w:rFonts w:ascii="仿宋" w:hAnsi="仿宋" w:eastAsia="仿宋" w:cs="仿宋"/>
                <w:bCs/>
                <w:sz w:val="21"/>
                <w:szCs w:val="21"/>
                <w:lang w:val="en-US" w:eastAsia="zh-CN"/>
              </w:rPr>
            </w:pPr>
            <w:r>
              <w:rPr>
                <w:rFonts w:hint="eastAsia" w:ascii="仿宋" w:hAnsi="仿宋" w:eastAsia="仿宋" w:cs="仿宋"/>
                <w:bCs/>
                <w:sz w:val="21"/>
                <w:szCs w:val="21"/>
                <w:lang w:val="en-US" w:eastAsia="zh-CN"/>
              </w:rPr>
              <w:t>工作方案</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3C161F45">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1套（文本及电子文档各一套）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9272996">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合同签订之日起1个月内</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A1EFDA0">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深圳市规划和自然资源局龙岗管理局公共项目科审查</w:t>
            </w:r>
          </w:p>
        </w:tc>
      </w:tr>
      <w:tr w14:paraId="18E8B591">
        <w:tblPrEx>
          <w:tblCellMar>
            <w:top w:w="0" w:type="dxa"/>
            <w:left w:w="108" w:type="dxa"/>
            <w:bottom w:w="0" w:type="dxa"/>
            <w:right w:w="108" w:type="dxa"/>
          </w:tblCellMar>
        </w:tblPrEx>
        <w:trPr>
          <w:trHeight w:val="117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1CC184A7">
            <w:pPr>
              <w:widowControl/>
              <w:spacing w:line="276" w:lineRule="auto"/>
              <w:jc w:val="center"/>
              <w:outlineLvl w:val="9"/>
              <w:rPr>
                <w:rFonts w:ascii="仿宋" w:hAnsi="仿宋" w:eastAsia="仿宋" w:cs="仿宋"/>
                <w:b/>
                <w:kern w:val="0"/>
                <w:sz w:val="21"/>
                <w:szCs w:val="21"/>
              </w:rPr>
            </w:pPr>
            <w:r>
              <w:rPr>
                <w:rFonts w:hint="eastAsia" w:ascii="仿宋" w:hAnsi="仿宋" w:eastAsia="仿宋" w:cs="仿宋"/>
                <w:b/>
                <w:kern w:val="0"/>
                <w:sz w:val="21"/>
                <w:szCs w:val="21"/>
              </w:rPr>
              <w:t>2</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DBF33BD">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提交中期成果</w:t>
            </w:r>
          </w:p>
        </w:tc>
        <w:tc>
          <w:tcPr>
            <w:tcW w:w="2460" w:type="dxa"/>
            <w:tcBorders>
              <w:top w:val="single" w:color="auto" w:sz="4" w:space="0"/>
              <w:left w:val="single" w:color="auto" w:sz="4" w:space="0"/>
              <w:bottom w:val="single" w:color="auto" w:sz="4" w:space="0"/>
              <w:right w:val="single" w:color="auto" w:sz="4" w:space="0"/>
            </w:tcBorders>
            <w:noWrap w:val="0"/>
            <w:vAlign w:val="center"/>
          </w:tcPr>
          <w:p w14:paraId="5BFF45A2">
            <w:pPr>
              <w:spacing w:line="276" w:lineRule="auto"/>
              <w:jc w:val="center"/>
              <w:outlineLvl w:val="9"/>
              <w:rPr>
                <w:rFonts w:ascii="仿宋" w:hAnsi="仿宋" w:eastAsia="仿宋" w:cs="仿宋"/>
                <w:bCs/>
                <w:sz w:val="21"/>
                <w:szCs w:val="21"/>
              </w:rPr>
            </w:pPr>
            <w:r>
              <w:rPr>
                <w:rFonts w:hint="eastAsia" w:ascii="仿宋" w:hAnsi="仿宋" w:eastAsia="仿宋" w:cs="仿宋"/>
                <w:bCs/>
                <w:sz w:val="21"/>
                <w:szCs w:val="21"/>
              </w:rPr>
              <w:t>《2025年龙岗区各批次建设用地报批（含农转用报批）材料汇编》（阶段）</w:t>
            </w:r>
          </w:p>
          <w:p w14:paraId="745B74E8">
            <w:pPr>
              <w:spacing w:line="276" w:lineRule="auto"/>
              <w:jc w:val="center"/>
              <w:outlineLvl w:val="9"/>
              <w:rPr>
                <w:rFonts w:ascii="仿宋" w:hAnsi="仿宋" w:eastAsia="仿宋" w:cs="仿宋"/>
                <w:bCs/>
                <w:sz w:val="21"/>
                <w:szCs w:val="21"/>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18FC232">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3套（电子文档三套）</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376FAEE">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合同签订之日起5个月内</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D69A154">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深圳市规划和自然资源局龙岗管理局公共项目科审查</w:t>
            </w:r>
          </w:p>
        </w:tc>
      </w:tr>
      <w:tr w14:paraId="5679EDB3">
        <w:tblPrEx>
          <w:tblCellMar>
            <w:top w:w="0" w:type="dxa"/>
            <w:left w:w="108" w:type="dxa"/>
            <w:bottom w:w="0" w:type="dxa"/>
            <w:right w:w="108" w:type="dxa"/>
          </w:tblCellMar>
        </w:tblPrEx>
        <w:trPr>
          <w:trHeight w:val="21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07FFEC71">
            <w:pPr>
              <w:widowControl/>
              <w:spacing w:line="276" w:lineRule="auto"/>
              <w:jc w:val="center"/>
              <w:outlineLvl w:val="9"/>
              <w:rPr>
                <w:rFonts w:ascii="仿宋" w:hAnsi="仿宋" w:eastAsia="仿宋" w:cs="仿宋"/>
                <w:b/>
                <w:kern w:val="0"/>
                <w:sz w:val="21"/>
                <w:szCs w:val="21"/>
              </w:rPr>
            </w:pPr>
            <w:r>
              <w:rPr>
                <w:rFonts w:hint="eastAsia" w:ascii="仿宋" w:hAnsi="仿宋" w:eastAsia="仿宋" w:cs="仿宋"/>
                <w:b/>
                <w:kern w:val="0"/>
                <w:sz w:val="21"/>
                <w:szCs w:val="21"/>
              </w:rPr>
              <w:t>3</w:t>
            </w:r>
          </w:p>
        </w:tc>
        <w:tc>
          <w:tcPr>
            <w:tcW w:w="1215" w:type="dxa"/>
            <w:tcBorders>
              <w:top w:val="single" w:color="auto" w:sz="4" w:space="0"/>
              <w:left w:val="nil"/>
              <w:bottom w:val="single" w:color="auto" w:sz="4" w:space="0"/>
              <w:right w:val="single" w:color="auto" w:sz="4" w:space="0"/>
            </w:tcBorders>
            <w:noWrap w:val="0"/>
            <w:vAlign w:val="center"/>
          </w:tcPr>
          <w:p w14:paraId="1BCABE2D">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提交正式成果</w:t>
            </w:r>
          </w:p>
        </w:tc>
        <w:tc>
          <w:tcPr>
            <w:tcW w:w="2460" w:type="dxa"/>
            <w:tcBorders>
              <w:top w:val="single" w:color="auto" w:sz="4" w:space="0"/>
              <w:left w:val="nil"/>
              <w:bottom w:val="single" w:color="auto" w:sz="4" w:space="0"/>
              <w:right w:val="single" w:color="auto" w:sz="4" w:space="0"/>
            </w:tcBorders>
            <w:noWrap w:val="0"/>
            <w:vAlign w:val="center"/>
          </w:tcPr>
          <w:p w14:paraId="4990C412">
            <w:pPr>
              <w:spacing w:line="276" w:lineRule="auto"/>
              <w:jc w:val="center"/>
              <w:outlineLvl w:val="9"/>
              <w:rPr>
                <w:rFonts w:ascii="仿宋" w:hAnsi="仿宋" w:eastAsia="仿宋" w:cs="仿宋"/>
                <w:bCs/>
                <w:sz w:val="21"/>
                <w:szCs w:val="21"/>
              </w:rPr>
            </w:pPr>
            <w:r>
              <w:rPr>
                <w:rFonts w:hint="eastAsia" w:ascii="仿宋" w:hAnsi="仿宋" w:eastAsia="仿宋" w:cs="仿宋"/>
                <w:bCs/>
                <w:sz w:val="21"/>
                <w:szCs w:val="21"/>
              </w:rPr>
              <w:t>①《2025年度龙岗区建设用地报批（含农转用报批）技术服务工作报告》（含台账）；</w:t>
            </w:r>
          </w:p>
          <w:p w14:paraId="1343E8A6">
            <w:pPr>
              <w:spacing w:line="276" w:lineRule="auto"/>
              <w:jc w:val="center"/>
              <w:outlineLvl w:val="9"/>
              <w:rPr>
                <w:rFonts w:ascii="仿宋" w:hAnsi="仿宋" w:eastAsia="仿宋" w:cs="仿宋"/>
                <w:bCs/>
                <w:sz w:val="21"/>
                <w:szCs w:val="21"/>
              </w:rPr>
            </w:pPr>
            <w:r>
              <w:rPr>
                <w:rFonts w:hint="eastAsia" w:ascii="仿宋" w:hAnsi="仿宋" w:eastAsia="仿宋" w:cs="仿宋"/>
                <w:bCs/>
                <w:sz w:val="21"/>
                <w:szCs w:val="21"/>
              </w:rPr>
              <w:t>②《2025年龙岗区各批次建设用地报批（含农转用报批）材料汇编》。</w:t>
            </w:r>
          </w:p>
        </w:tc>
        <w:tc>
          <w:tcPr>
            <w:tcW w:w="1605" w:type="dxa"/>
            <w:tcBorders>
              <w:top w:val="single" w:color="auto" w:sz="4" w:space="0"/>
              <w:left w:val="nil"/>
              <w:bottom w:val="single" w:color="auto" w:sz="4" w:space="0"/>
              <w:right w:val="single" w:color="auto" w:sz="4" w:space="0"/>
            </w:tcBorders>
            <w:noWrap w:val="0"/>
            <w:vAlign w:val="center"/>
          </w:tcPr>
          <w:p w14:paraId="21B68246">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3套（成果</w:t>
            </w:r>
            <w:r>
              <w:rPr>
                <w:rFonts w:hint="eastAsia" w:ascii="仿宋" w:hAnsi="仿宋" w:eastAsia="仿宋" w:cs="仿宋"/>
                <w:bCs/>
                <w:sz w:val="21"/>
                <w:szCs w:val="21"/>
              </w:rPr>
              <w:t>①</w:t>
            </w:r>
            <w:r>
              <w:rPr>
                <w:rFonts w:hint="eastAsia" w:ascii="仿宋" w:hAnsi="仿宋" w:eastAsia="仿宋" w:cs="仿宋"/>
                <w:kern w:val="0"/>
                <w:sz w:val="21"/>
                <w:szCs w:val="21"/>
              </w:rPr>
              <w:t>提交文本及电子文档各三套，成果</w:t>
            </w:r>
            <w:r>
              <w:rPr>
                <w:rFonts w:hint="eastAsia" w:ascii="仿宋" w:hAnsi="仿宋" w:eastAsia="仿宋" w:cs="仿宋"/>
                <w:bCs/>
                <w:sz w:val="21"/>
                <w:szCs w:val="21"/>
              </w:rPr>
              <w:t>②</w:t>
            </w:r>
            <w:r>
              <w:rPr>
                <w:rFonts w:hint="eastAsia" w:ascii="仿宋" w:hAnsi="仿宋" w:eastAsia="仿宋" w:cs="仿宋"/>
                <w:kern w:val="0"/>
                <w:sz w:val="21"/>
                <w:szCs w:val="21"/>
              </w:rPr>
              <w:t>提交电子文档三套。）</w:t>
            </w:r>
          </w:p>
        </w:tc>
        <w:tc>
          <w:tcPr>
            <w:tcW w:w="1485" w:type="dxa"/>
            <w:tcBorders>
              <w:top w:val="single" w:color="auto" w:sz="4" w:space="0"/>
              <w:left w:val="nil"/>
              <w:bottom w:val="single" w:color="auto" w:sz="4" w:space="0"/>
              <w:right w:val="single" w:color="auto" w:sz="4" w:space="0"/>
            </w:tcBorders>
            <w:noWrap w:val="0"/>
            <w:vAlign w:val="center"/>
          </w:tcPr>
          <w:p w14:paraId="5C55AEE8">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2025年11月30日前</w:t>
            </w:r>
          </w:p>
        </w:tc>
        <w:tc>
          <w:tcPr>
            <w:tcW w:w="1980" w:type="dxa"/>
            <w:tcBorders>
              <w:top w:val="single" w:color="auto" w:sz="4" w:space="0"/>
              <w:left w:val="nil"/>
              <w:bottom w:val="single" w:color="auto" w:sz="4" w:space="0"/>
              <w:right w:val="single" w:color="auto" w:sz="4" w:space="0"/>
            </w:tcBorders>
            <w:noWrap w:val="0"/>
            <w:vAlign w:val="center"/>
          </w:tcPr>
          <w:p w14:paraId="77CB9EC5">
            <w:pPr>
              <w:widowControl/>
              <w:spacing w:line="276" w:lineRule="auto"/>
              <w:jc w:val="center"/>
              <w:outlineLvl w:val="9"/>
              <w:rPr>
                <w:rFonts w:ascii="仿宋" w:hAnsi="仿宋" w:eastAsia="仿宋" w:cs="仿宋"/>
                <w:kern w:val="0"/>
                <w:sz w:val="21"/>
                <w:szCs w:val="21"/>
              </w:rPr>
            </w:pPr>
            <w:r>
              <w:rPr>
                <w:rFonts w:hint="eastAsia" w:ascii="仿宋" w:hAnsi="仿宋" w:eastAsia="仿宋" w:cs="仿宋"/>
                <w:kern w:val="0"/>
                <w:sz w:val="21"/>
                <w:szCs w:val="21"/>
              </w:rPr>
              <w:t>深圳市规划和自然资源局龙岗管理局专题会审查</w:t>
            </w:r>
          </w:p>
        </w:tc>
      </w:tr>
    </w:tbl>
    <w:p w14:paraId="37C7E896">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（六）技术培训要求及项目人员安排要求</w:t>
      </w:r>
    </w:p>
    <w:p w14:paraId="25F60222">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（1）投标人应按采购人需求，对采购人的相关技术人员进行技术培训。</w:t>
      </w:r>
    </w:p>
    <w:p w14:paraId="3FDFF213">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（2）项目成员不少于8人。</w:t>
      </w:r>
    </w:p>
    <w:p w14:paraId="02424871">
      <w:pPr>
        <w:pStyle w:val="4"/>
        <w:numPr>
          <w:ilvl w:val="0"/>
          <w:numId w:val="1"/>
        </w:numPr>
        <w:adjustRightInd/>
        <w:spacing w:line="360" w:lineRule="auto"/>
        <w:jc w:val="both"/>
        <w:textAlignment w:val="auto"/>
        <w:rPr>
          <w:rFonts w:hint="eastAsia" w:eastAsia="宋体" w:cs="Times New Roman"/>
          <w:b/>
          <w:bCs/>
          <w:sz w:val="28"/>
          <w:szCs w:val="28"/>
        </w:rPr>
      </w:pPr>
      <w:bookmarkStart w:id="9" w:name="_Toc1650"/>
      <w:r>
        <w:rPr>
          <w:rFonts w:hint="eastAsia" w:eastAsia="宋体" w:cs="Times New Roman"/>
          <w:b/>
          <w:bCs/>
          <w:sz w:val="28"/>
          <w:szCs w:val="28"/>
        </w:rPr>
        <w:t>商务要求</w:t>
      </w:r>
      <w:bookmarkEnd w:id="9"/>
    </w:p>
    <w:p w14:paraId="6914245F">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（一）服务期：本次招标项目服务期限为自项目合同签订之日起至2025年11月30日前完成。在该项目完成后的半年内，中标人须与采购人保持全面沟通，随时跟进。</w:t>
      </w:r>
    </w:p>
    <w:p w14:paraId="7B08A4D3">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（二）服务地点：龙岗辖区范围内。</w:t>
      </w:r>
    </w:p>
    <w:p w14:paraId="3B4D4D8F">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（三）报价要求：</w:t>
      </w:r>
    </w:p>
    <w:p w14:paraId="3AA8C415">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1</w:t>
      </w:r>
      <w:r>
        <w:rPr>
          <w:rFonts w:hint="eastAsia" w:ascii="宋体" w:hAnsi="宋体" w:cs="宋体"/>
          <w:bCs/>
          <w:sz w:val="28"/>
          <w:szCs w:val="28"/>
          <w:lang w:eastAsia="zh-CN"/>
        </w:rPr>
        <w:t>、</w:t>
      </w:r>
      <w:r>
        <w:rPr>
          <w:rFonts w:hint="eastAsia" w:ascii="宋体" w:hAnsi="宋体" w:cs="宋体"/>
          <w:bCs/>
          <w:sz w:val="28"/>
          <w:szCs w:val="28"/>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0D9269A0">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2</w:t>
      </w:r>
      <w:r>
        <w:rPr>
          <w:rFonts w:hint="eastAsia" w:ascii="宋体" w:hAnsi="宋体" w:cs="宋体"/>
          <w:bCs/>
          <w:sz w:val="28"/>
          <w:szCs w:val="28"/>
          <w:lang w:eastAsia="zh-CN"/>
        </w:rPr>
        <w:t>、</w:t>
      </w:r>
      <w:r>
        <w:rPr>
          <w:rFonts w:hint="eastAsia" w:ascii="宋体" w:hAnsi="宋体" w:cs="宋体"/>
          <w:bCs/>
          <w:sz w:val="28"/>
          <w:szCs w:val="28"/>
        </w:rPr>
        <w:t>投标供应商应当根据本企业的成本自行决定报价，但不得以低于其企业成本的报价投标。</w:t>
      </w:r>
    </w:p>
    <w:p w14:paraId="0A858A85">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3</w:t>
      </w:r>
      <w:r>
        <w:rPr>
          <w:rFonts w:hint="eastAsia" w:ascii="宋体" w:hAnsi="宋体" w:cs="宋体"/>
          <w:bCs/>
          <w:sz w:val="28"/>
          <w:szCs w:val="28"/>
          <w:lang w:eastAsia="zh-CN"/>
        </w:rPr>
        <w:t>、</w:t>
      </w:r>
      <w:r>
        <w:rPr>
          <w:rFonts w:hint="eastAsia" w:ascii="宋体" w:hAnsi="宋体" w:cs="宋体"/>
          <w:bCs/>
          <w:sz w:val="28"/>
          <w:szCs w:val="28"/>
        </w:rPr>
        <w:t>投标供应商的报价不得超过项目预算金额。</w:t>
      </w:r>
    </w:p>
    <w:p w14:paraId="00F7D78E">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4</w:t>
      </w:r>
      <w:r>
        <w:rPr>
          <w:rFonts w:hint="eastAsia" w:ascii="宋体" w:hAnsi="宋体" w:cs="宋体"/>
          <w:bCs/>
          <w:sz w:val="28"/>
          <w:szCs w:val="28"/>
          <w:lang w:eastAsia="zh-CN"/>
        </w:rPr>
        <w:t>、</w:t>
      </w:r>
      <w:r>
        <w:rPr>
          <w:rFonts w:hint="eastAsia" w:ascii="宋体" w:hAnsi="宋体" w:cs="宋体"/>
          <w:bCs/>
          <w:sz w:val="28"/>
          <w:szCs w:val="28"/>
        </w:rPr>
        <w:t>投标供应商的报价，应当是本项目采购范围和采购文件及合同条款上所列的各项内容中所述的全部，不得以任何理由予以重复。</w:t>
      </w:r>
    </w:p>
    <w:p w14:paraId="75694792">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5</w:t>
      </w:r>
      <w:r>
        <w:rPr>
          <w:rFonts w:hint="eastAsia" w:ascii="宋体" w:hAnsi="宋体" w:cs="宋体"/>
          <w:bCs/>
          <w:sz w:val="28"/>
          <w:szCs w:val="28"/>
          <w:lang w:eastAsia="zh-CN"/>
        </w:rPr>
        <w:t>、</w:t>
      </w:r>
      <w:r>
        <w:rPr>
          <w:rFonts w:hint="eastAsia" w:ascii="宋体" w:hAnsi="宋体" w:cs="宋体"/>
          <w:bCs/>
          <w:sz w:val="28"/>
          <w:szCs w:val="28"/>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28D8F881">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6</w:t>
      </w:r>
      <w:r>
        <w:rPr>
          <w:rFonts w:hint="eastAsia" w:ascii="宋体" w:hAnsi="宋体" w:cs="宋体"/>
          <w:bCs/>
          <w:sz w:val="28"/>
          <w:szCs w:val="28"/>
          <w:lang w:eastAsia="zh-CN"/>
        </w:rPr>
        <w:t>、</w:t>
      </w:r>
      <w:r>
        <w:rPr>
          <w:rFonts w:hint="eastAsia" w:ascii="宋体" w:hAnsi="宋体" w:cs="宋体"/>
          <w:bCs/>
          <w:sz w:val="28"/>
          <w:szCs w:val="28"/>
        </w:rPr>
        <w:t>投标供应商应事先充分了解项目的位置、情况、道路及任何其它足以影响投标报价的情况，任何因忽视或误解项目情况而导致的索赔或服务期限延长申请将不获批准。</w:t>
      </w:r>
    </w:p>
    <w:p w14:paraId="3F1DB58F">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7</w:t>
      </w:r>
      <w:r>
        <w:rPr>
          <w:rFonts w:hint="eastAsia" w:ascii="宋体" w:hAnsi="宋体" w:cs="宋体"/>
          <w:bCs/>
          <w:sz w:val="28"/>
          <w:szCs w:val="28"/>
          <w:lang w:eastAsia="zh-CN"/>
        </w:rPr>
        <w:t>、</w:t>
      </w:r>
      <w:r>
        <w:rPr>
          <w:rFonts w:hint="eastAsia" w:ascii="宋体" w:hAnsi="宋体" w:cs="宋体"/>
          <w:bCs/>
          <w:sz w:val="28"/>
          <w:szCs w:val="28"/>
        </w:rPr>
        <w:t>投标供应商不得期望通过索赔等方式获取补偿，否则，除可能遭到拒绝外，还可能将被作为不良行为记录在案，并可能影响其以后参加政府采购的项目投标。各投标供应商在报价时，应充分考虑报价的风险。</w:t>
      </w:r>
    </w:p>
    <w:p w14:paraId="4DDD65FE">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（四）付款方式：</w:t>
      </w:r>
    </w:p>
    <w:p w14:paraId="586C091D">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采用分期付款方式：分3期付款。</w:t>
      </w:r>
    </w:p>
    <w:p w14:paraId="7F98349F">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首期款：自签订合同之日起，中标方在10个工作日之内提出付款申请及有效发票，采购方按照区财政安排该项目的年度资金开展支付首期款工作（占合同总价款40%）；中期款：中标方提交中期成果，并通过采购方主办科室审查，中标方在10个工作日之内提出付款申请及有效发票，采购方按照区财政安排该项目的年度资金开展支付进度款工作（占合同总价款40%）；尾款：中标方按照合同提交正式成果，并通过采购方局专题会审议主办科室完成归档手续后，中标方在10个工作日之内提出付款申请及有效发票，采购方按照区财政安排项目的年度资金开展支付尾款工作（占合同总价款20%）。</w:t>
      </w:r>
    </w:p>
    <w:p w14:paraId="0C8F5B89">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（五）违约责任：按合同约定执行。</w:t>
      </w:r>
    </w:p>
    <w:p w14:paraId="1F7B97CC">
      <w:pPr>
        <w:spacing w:line="360" w:lineRule="auto"/>
        <w:ind w:firstLine="560" w:firstLineChars="200"/>
        <w:outlineLvl w:val="9"/>
        <w:rPr>
          <w:rFonts w:hint="eastAsia" w:ascii="宋体" w:hAnsi="宋体" w:cs="宋体"/>
          <w:bCs/>
          <w:sz w:val="28"/>
          <w:szCs w:val="28"/>
        </w:rPr>
      </w:pPr>
      <w:r>
        <w:rPr>
          <w:rFonts w:hint="eastAsia" w:ascii="宋体" w:hAnsi="宋体" w:cs="宋体"/>
          <w:bCs/>
          <w:sz w:val="28"/>
          <w:szCs w:val="28"/>
        </w:rPr>
        <w:t>（六）其他：</w:t>
      </w:r>
    </w:p>
    <w:p w14:paraId="15D72E95">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1、未被列入失信被执行人、重大税收违法案件当事人名单、政府采购严重违法失信行为记录名单。通过“信用中国”、“中国政府采购网”以及“深圳市政府采购监管网”为投标供应商信用信息的查询渠道，以开标当日查询结果为准，相关查询截图证据与采购文件一并保存。</w:t>
      </w:r>
    </w:p>
    <w:p w14:paraId="5D7F47CF">
      <w:pPr>
        <w:spacing w:line="360" w:lineRule="auto"/>
        <w:ind w:firstLine="560" w:firstLineChars="200"/>
        <w:outlineLvl w:val="9"/>
        <w:rPr>
          <w:rFonts w:ascii="宋体" w:hAnsi="宋体" w:cs="宋体"/>
          <w:bCs/>
          <w:sz w:val="28"/>
          <w:szCs w:val="28"/>
        </w:rPr>
      </w:pPr>
      <w:r>
        <w:rPr>
          <w:rFonts w:hint="eastAsia" w:ascii="宋体" w:hAnsi="宋体" w:cs="宋体"/>
          <w:bCs/>
          <w:sz w:val="28"/>
          <w:szCs w:val="28"/>
        </w:rPr>
        <w:t>2、投标文件中必须签署《政府采购违法行为风险知悉确认书》及《政府采购投标及履约承诺函》，并加盖单位公章作为投标文件的组成部分。</w:t>
      </w:r>
    </w:p>
    <w:bookmarkEnd w:id="3"/>
    <w:p w14:paraId="253A0B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1A327"/>
    <w:multiLevelType w:val="singleLevel"/>
    <w:tmpl w:val="CDC1A3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F77F7"/>
    <w:rsid w:val="666F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adjustRightInd w:val="0"/>
      <w:spacing w:line="240" w:lineRule="auto"/>
      <w:jc w:val="center"/>
      <w:textAlignment w:val="baseline"/>
      <w:outlineLvl w:val="1"/>
    </w:pPr>
    <w:rPr>
      <w:rFonts w:ascii="宋体" w:hAnsi="宋体"/>
      <w:b/>
      <w:bCs/>
      <w:kern w:val="0"/>
      <w:sz w:val="24"/>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abs>
        <w:tab w:val="left" w:pos="426"/>
      </w:tabs>
      <w:spacing w:beforeLines="50" w:afterLines="50" w:line="120" w:lineRule="auto"/>
      <w:ind w:firstLine="840" w:firstLineChars="400"/>
      <w:jc w:val="left"/>
    </w:pPr>
  </w:style>
  <w:style w:type="paragraph" w:styleId="5">
    <w:name w:val="index 8"/>
    <w:basedOn w:val="1"/>
    <w:next w:val="1"/>
    <w:qFormat/>
    <w:uiPriority w:val="0"/>
    <w:pPr>
      <w:ind w:left="2940"/>
    </w:pPr>
  </w:style>
  <w:style w:type="paragraph" w:styleId="6">
    <w:name w:val="Plain Text"/>
    <w:basedOn w:val="1"/>
    <w:next w:val="5"/>
    <w:qFormat/>
    <w:uiPriority w:val="0"/>
    <w:rPr>
      <w:rFonts w:ascii="Courier New" w:hAnsi="Courier New"/>
      <w:szCs w:val="20"/>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2025-02-07T07:39:00Z</dcterms:created>
  <dc:creator>sss</dc:creator>
  <cp:lastModifiedBy>sss</cp:lastModifiedBy>
  <dcterms:modified xsi:type="dcterms:W3CDTF">2025-02-07T07:40:37Z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9BC75BBDB5FE451481E0DECF8114CE3C_11</vt:lpwstr>
  </property>
  <property fmtid="{D5CDD505-2E9C-101B-9397-08002B2CF9AE}" pid="4" name="KSOTemplateDocerSaveRecord">
    <vt:lpwstr>eyJoZGlkIjoiMGYwYjQ0MmYzYmU4NWE5YmJkNWFhOWQzZjVjNDYwYzEiLCJ1c2VySWQiOiIzMTU2NDg3NDcifQ==</vt:lpwstr>
  </property>
</Properties>
</file>