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7ACED">
      <w:pPr>
        <w:pStyle w:val="3"/>
        <w:numPr>
          <w:numId w:val="0"/>
        </w:numPr>
        <w:spacing w:before="0" w:after="0" w:line="360" w:lineRule="auto"/>
        <w:ind w:leftChars="0"/>
        <w:jc w:val="center"/>
        <w:rPr>
          <w:rFonts w:hint="eastAsia" w:ascii="黑体" w:hAnsi="黑体" w:eastAsia="黑体"/>
          <w:color w:val="000000"/>
        </w:rPr>
      </w:pPr>
      <w:bookmarkStart w:id="0" w:name="_Toc10330"/>
      <w:bookmarkStart w:id="1" w:name="_Toc12307"/>
      <w:r>
        <w:rPr>
          <w:rFonts w:ascii="黑体" w:hAnsi="黑体" w:eastAsia="黑体"/>
          <w:color w:val="000000"/>
        </w:rPr>
        <w:fldChar w:fldCharType="begin"/>
      </w:r>
      <w:r>
        <w:rPr>
          <w:rFonts w:ascii="黑体" w:hAnsi="黑体" w:eastAsia="黑体"/>
          <w:color w:val="000000"/>
        </w:rPr>
        <w:instrText xml:space="preserve"> HYPERLINK \l "_Toc488762883" </w:instrText>
      </w:r>
      <w:r>
        <w:rPr>
          <w:rFonts w:ascii="黑体" w:hAnsi="黑体" w:eastAsia="黑体"/>
          <w:color w:val="000000"/>
        </w:rPr>
        <w:fldChar w:fldCharType="separate"/>
      </w:r>
      <w:r>
        <w:rPr>
          <w:rFonts w:hint="eastAsia" w:ascii="黑体" w:hAnsi="黑体" w:eastAsia="黑体"/>
          <w:color w:val="000000"/>
        </w:rPr>
        <w:t>招标项目</w:t>
      </w:r>
      <w:bookmarkStart w:id="9" w:name="_GoBack"/>
      <w:bookmarkEnd w:id="9"/>
      <w:r>
        <w:rPr>
          <w:rFonts w:hint="eastAsia" w:ascii="黑体" w:hAnsi="黑体" w:eastAsia="黑体"/>
          <w:color w:val="000000"/>
        </w:rPr>
        <w:t>需求</w:t>
      </w:r>
      <w:r>
        <w:rPr>
          <w:rFonts w:ascii="黑体" w:hAnsi="黑体" w:eastAsia="黑体"/>
          <w:color w:val="000000"/>
        </w:rPr>
        <w:fldChar w:fldCharType="end"/>
      </w:r>
      <w:bookmarkEnd w:id="0"/>
      <w:bookmarkEnd w:id="1"/>
    </w:p>
    <w:p w14:paraId="20D5CA8A">
      <w:pPr>
        <w:pStyle w:val="4"/>
        <w:numPr>
          <w:ilvl w:val="0"/>
          <w:numId w:val="1"/>
        </w:numPr>
        <w:adjustRightInd/>
        <w:spacing w:line="360" w:lineRule="auto"/>
        <w:jc w:val="both"/>
        <w:textAlignment w:val="auto"/>
        <w:rPr>
          <w:rFonts w:hint="eastAsia"/>
          <w:b/>
          <w:bCs/>
          <w:sz w:val="28"/>
          <w:szCs w:val="28"/>
        </w:rPr>
      </w:pPr>
      <w:bookmarkStart w:id="2" w:name="sixxiangmugaisu"/>
      <w:bookmarkEnd w:id="2"/>
      <w:bookmarkStart w:id="3" w:name="_Toc19385"/>
      <w:bookmarkStart w:id="4" w:name="_Toc25283"/>
      <w:r>
        <w:rPr>
          <w:rFonts w:hint="eastAsia"/>
          <w:b/>
          <w:bCs/>
          <w:sz w:val="28"/>
          <w:szCs w:val="28"/>
        </w:rPr>
        <w:t>项目概况</w:t>
      </w:r>
      <w:bookmarkEnd w:id="3"/>
      <w:bookmarkEnd w:id="4"/>
    </w:p>
    <w:p w14:paraId="23846DED">
      <w:pPr>
        <w:pStyle w:val="7"/>
        <w:spacing w:line="360" w:lineRule="auto"/>
        <w:ind w:firstLine="560"/>
        <w:rPr>
          <w:rFonts w:hint="eastAsia"/>
        </w:rPr>
      </w:pPr>
      <w:r>
        <w:rPr>
          <w:rFonts w:hint="eastAsia" w:ascii="宋体" w:hAnsi="宋体" w:cs="宋体"/>
          <w:sz w:val="28"/>
          <w:szCs w:val="28"/>
        </w:rPr>
        <w:t>党的二十大以来，生物多样性保护已成为生态文明建设的重要任务，并被提升为国家战略的一部分。野生动植物是生物多样性保护的核心对象，野生动植物资源调查是生物多样性保护工作的重要基础和前提。2020年3月31日广东省第十三届人民代表大会常务委员会第四次修订了《广东省野生动物保护管理条例》，2022年12月30日，全国人民代表大会常务委员会第三次修订了《中华人民共和国野生动物保护法》。根据深圳市龙岗区人民政府办公室关于印发《龙岗区生态环境保护“十四五”规划》的通知(深府办〔2022〕2号)，《广东省林业局关于印发&lt;广东省陆生野生动植物保护行动计划（2023-2030年）&gt;》（粤林函〔2022〕342号）的工作要求。本项目旨在调查摸清龙岗区野生动物资源状况及其栖息地状况，了解其种类、数量及其分布，为野生动物保护工作提供技术支撑，促进生态系统的健康和稳定，推进生态文明建设。本项目预算金额90万元。</w:t>
      </w:r>
    </w:p>
    <w:p w14:paraId="54A52CCD">
      <w:pPr>
        <w:pStyle w:val="4"/>
        <w:numPr>
          <w:ilvl w:val="0"/>
          <w:numId w:val="1"/>
        </w:numPr>
        <w:adjustRightInd/>
        <w:spacing w:line="360" w:lineRule="auto"/>
        <w:jc w:val="both"/>
        <w:textAlignment w:val="auto"/>
        <w:rPr>
          <w:rFonts w:hint="eastAsia"/>
          <w:b/>
          <w:bCs/>
          <w:sz w:val="28"/>
          <w:szCs w:val="28"/>
        </w:rPr>
      </w:pPr>
      <w:bookmarkStart w:id="5" w:name="_Toc21908"/>
      <w:bookmarkStart w:id="6" w:name="_Toc6297"/>
      <w:r>
        <w:rPr>
          <w:rFonts w:hint="eastAsia"/>
          <w:b/>
          <w:bCs/>
          <w:sz w:val="28"/>
          <w:szCs w:val="28"/>
        </w:rPr>
        <w:t>服务内容及要求</w:t>
      </w:r>
      <w:bookmarkEnd w:id="5"/>
      <w:bookmarkEnd w:id="6"/>
    </w:p>
    <w:p w14:paraId="15D3DBA1">
      <w:pPr>
        <w:pStyle w:val="7"/>
        <w:spacing w:line="360" w:lineRule="auto"/>
        <w:ind w:firstLine="562"/>
        <w:rPr>
          <w:rFonts w:hint="eastAsia" w:ascii="宋体" w:hAnsi="宋体" w:cs="宋体"/>
          <w:b/>
          <w:bCs/>
          <w:sz w:val="28"/>
          <w:szCs w:val="28"/>
        </w:rPr>
      </w:pPr>
      <w:r>
        <w:rPr>
          <w:rFonts w:hint="eastAsia" w:ascii="宋体" w:hAnsi="宋体" w:cs="宋体"/>
          <w:b/>
          <w:bCs/>
          <w:sz w:val="28"/>
          <w:szCs w:val="28"/>
        </w:rPr>
        <w:t>（一）服务内容</w:t>
      </w:r>
    </w:p>
    <w:p w14:paraId="6EE65FF1">
      <w:pPr>
        <w:pStyle w:val="7"/>
        <w:spacing w:line="360" w:lineRule="auto"/>
        <w:ind w:firstLine="560"/>
        <w:rPr>
          <w:rFonts w:hint="eastAsia" w:ascii="宋体" w:hAnsi="宋体" w:cs="宋体"/>
          <w:sz w:val="28"/>
          <w:szCs w:val="28"/>
        </w:rPr>
      </w:pPr>
      <w:r>
        <w:rPr>
          <w:rFonts w:hint="eastAsia" w:ascii="宋体" w:hAnsi="宋体" w:cs="宋体"/>
          <w:sz w:val="28"/>
          <w:szCs w:val="28"/>
        </w:rPr>
        <w:t>对辖区120.89平方公里森林，14.68平方公里湿地范围开展野生动物摸底调查，动物资源调查包括昆虫、两栖类、爬行类、鸟类和兽类。</w:t>
      </w:r>
    </w:p>
    <w:p w14:paraId="3E94EE14">
      <w:pPr>
        <w:pStyle w:val="7"/>
        <w:spacing w:line="360" w:lineRule="auto"/>
        <w:ind w:firstLine="560"/>
        <w:rPr>
          <w:rFonts w:hint="eastAsia" w:ascii="宋体" w:hAnsi="宋体" w:cs="宋体"/>
          <w:sz w:val="28"/>
          <w:szCs w:val="28"/>
        </w:rPr>
      </w:pPr>
      <w:r>
        <w:rPr>
          <w:rFonts w:hint="eastAsia" w:ascii="宋体" w:hAnsi="宋体" w:cs="宋体"/>
          <w:sz w:val="28"/>
          <w:szCs w:val="28"/>
        </w:rPr>
        <w:t>1.野生动物物种本底调查</w:t>
      </w:r>
    </w:p>
    <w:p w14:paraId="289F7990">
      <w:pPr>
        <w:pStyle w:val="7"/>
        <w:spacing w:line="360" w:lineRule="auto"/>
        <w:ind w:firstLine="560"/>
        <w:rPr>
          <w:rFonts w:hint="eastAsia" w:ascii="宋体" w:hAnsi="宋体" w:cs="宋体"/>
          <w:sz w:val="28"/>
          <w:szCs w:val="28"/>
        </w:rPr>
      </w:pPr>
      <w:r>
        <w:rPr>
          <w:rFonts w:hint="eastAsia" w:ascii="宋体" w:hAnsi="宋体" w:cs="宋体"/>
          <w:sz w:val="28"/>
          <w:szCs w:val="28"/>
        </w:rPr>
        <w:t>在不同季节到实地进行野外考察和标本(仅限昆虫)采集，同时对每一物种的分布、多度以及受危程度进行评估。每一调查点，均需拍摄目的物种及其所处位置的彩色照片。</w:t>
      </w:r>
    </w:p>
    <w:p w14:paraId="35EAE17E">
      <w:pPr>
        <w:pStyle w:val="7"/>
        <w:spacing w:line="360" w:lineRule="auto"/>
        <w:ind w:firstLine="560"/>
        <w:rPr>
          <w:rFonts w:hint="eastAsia" w:ascii="宋体" w:hAnsi="宋体" w:cs="宋体"/>
          <w:sz w:val="28"/>
          <w:szCs w:val="28"/>
        </w:rPr>
      </w:pPr>
      <w:r>
        <w:rPr>
          <w:rFonts w:hint="eastAsia" w:ascii="宋体" w:hAnsi="宋体" w:cs="宋体"/>
          <w:sz w:val="28"/>
          <w:szCs w:val="28"/>
        </w:rPr>
        <w:t>2.重点保护野生动物栖息地调查</w:t>
      </w:r>
    </w:p>
    <w:p w14:paraId="75818E74">
      <w:pPr>
        <w:pStyle w:val="7"/>
        <w:spacing w:line="360" w:lineRule="auto"/>
        <w:ind w:firstLine="560"/>
        <w:rPr>
          <w:rFonts w:hint="eastAsia" w:ascii="宋体" w:hAnsi="宋体" w:cs="宋体"/>
          <w:sz w:val="28"/>
          <w:szCs w:val="28"/>
        </w:rPr>
      </w:pPr>
      <w:r>
        <w:rPr>
          <w:rFonts w:hint="eastAsia" w:ascii="宋体" w:hAnsi="宋体" w:cs="宋体"/>
          <w:sz w:val="28"/>
          <w:szCs w:val="28"/>
        </w:rPr>
        <w:t>摸清龙岗区重点保护野生动物的栖息地，编制龙岗区重点保护野生动物栖息地分布图。</w:t>
      </w:r>
    </w:p>
    <w:p w14:paraId="4C11CE68">
      <w:pPr>
        <w:pStyle w:val="7"/>
        <w:spacing w:line="360" w:lineRule="auto"/>
        <w:ind w:firstLine="560"/>
        <w:rPr>
          <w:rFonts w:hint="eastAsia" w:ascii="宋体" w:hAnsi="宋体" w:cs="宋体"/>
          <w:sz w:val="28"/>
          <w:szCs w:val="28"/>
        </w:rPr>
      </w:pPr>
      <w:r>
        <w:rPr>
          <w:rFonts w:hint="eastAsia" w:ascii="宋体" w:hAnsi="宋体" w:cs="宋体"/>
          <w:sz w:val="28"/>
          <w:szCs w:val="28"/>
        </w:rPr>
        <w:t>3.重点保护野生动物保护策略分析</w:t>
      </w:r>
    </w:p>
    <w:p w14:paraId="45E41AB7">
      <w:pPr>
        <w:pStyle w:val="7"/>
        <w:spacing w:line="360" w:lineRule="auto"/>
        <w:ind w:firstLine="560"/>
        <w:rPr>
          <w:rFonts w:hint="eastAsia" w:ascii="宋体" w:hAnsi="宋体" w:cs="宋体"/>
          <w:sz w:val="28"/>
          <w:szCs w:val="28"/>
        </w:rPr>
      </w:pPr>
      <w:r>
        <w:rPr>
          <w:rFonts w:hint="eastAsia" w:ascii="宋体" w:hAnsi="宋体" w:cs="宋体"/>
          <w:sz w:val="28"/>
          <w:szCs w:val="28"/>
        </w:rPr>
        <w:t>根据龙岗区野生动物现状，分析龙岗区野生动物保护中存在的问题，提出重点保护野生动物保护策略。</w:t>
      </w:r>
    </w:p>
    <w:p w14:paraId="6FF8E1AF">
      <w:pPr>
        <w:pStyle w:val="7"/>
        <w:spacing w:line="360" w:lineRule="auto"/>
        <w:ind w:firstLine="560"/>
        <w:rPr>
          <w:rFonts w:hint="eastAsia" w:ascii="宋体" w:hAnsi="宋体" w:cs="宋体"/>
          <w:sz w:val="28"/>
          <w:szCs w:val="28"/>
        </w:rPr>
      </w:pPr>
      <w:r>
        <w:rPr>
          <w:rFonts w:hint="eastAsia" w:ascii="宋体" w:hAnsi="宋体" w:cs="宋体"/>
          <w:sz w:val="28"/>
          <w:szCs w:val="28"/>
        </w:rPr>
        <w:t>4.开展野生动物保护技术培训</w:t>
      </w:r>
    </w:p>
    <w:p w14:paraId="37F16AAC">
      <w:pPr>
        <w:pStyle w:val="7"/>
        <w:spacing w:line="360" w:lineRule="auto"/>
        <w:ind w:firstLine="560"/>
        <w:rPr>
          <w:rFonts w:ascii="宋体" w:hAnsi="宋体" w:cs="宋体"/>
          <w:sz w:val="28"/>
          <w:szCs w:val="28"/>
        </w:rPr>
      </w:pPr>
      <w:r>
        <w:rPr>
          <w:rFonts w:hint="eastAsia" w:ascii="宋体" w:hAnsi="宋体" w:cs="宋体"/>
          <w:sz w:val="28"/>
          <w:szCs w:val="28"/>
        </w:rPr>
        <w:t>根据龙岗区野生动物现状，开展一次野生动物保护技术培训，提升辖区野生动物保护从业人员技术水平。</w:t>
      </w:r>
    </w:p>
    <w:p w14:paraId="647C65ED">
      <w:pPr>
        <w:pStyle w:val="7"/>
        <w:spacing w:line="360" w:lineRule="auto"/>
        <w:ind w:firstLine="562"/>
        <w:rPr>
          <w:rFonts w:hint="eastAsia" w:ascii="宋体" w:hAnsi="宋体" w:cs="宋体"/>
          <w:b/>
          <w:bCs/>
          <w:sz w:val="28"/>
          <w:szCs w:val="28"/>
        </w:rPr>
      </w:pPr>
      <w:r>
        <w:rPr>
          <w:rFonts w:hint="eastAsia" w:ascii="宋体" w:hAnsi="宋体" w:cs="宋体"/>
          <w:b/>
          <w:bCs/>
          <w:sz w:val="28"/>
          <w:szCs w:val="28"/>
        </w:rPr>
        <w:t>（二）人员要求</w:t>
      </w:r>
    </w:p>
    <w:p w14:paraId="1525C2D5">
      <w:pPr>
        <w:pStyle w:val="7"/>
        <w:spacing w:line="360" w:lineRule="auto"/>
        <w:ind w:firstLine="560"/>
        <w:rPr>
          <w:rFonts w:hint="eastAsia" w:ascii="宋体" w:hAnsi="宋体" w:cs="宋体"/>
          <w:sz w:val="28"/>
          <w:szCs w:val="28"/>
        </w:rPr>
      </w:pPr>
      <w:r>
        <w:rPr>
          <w:rFonts w:hint="eastAsia" w:ascii="宋体" w:hAnsi="宋体" w:cs="宋体"/>
          <w:sz w:val="28"/>
          <w:szCs w:val="28"/>
        </w:rPr>
        <w:t>组建10人的技术团队，团队人员应具有中级或以上技术职称，项目负责人应具有高级技术职称，项目负责人服务过程未经采购单位允许不得更换。</w:t>
      </w:r>
    </w:p>
    <w:p w14:paraId="152CA1D5">
      <w:pPr>
        <w:pStyle w:val="7"/>
        <w:spacing w:line="360" w:lineRule="auto"/>
        <w:ind w:firstLine="562"/>
        <w:rPr>
          <w:rFonts w:hint="eastAsia" w:ascii="宋体" w:hAnsi="宋体" w:cs="宋体"/>
          <w:b/>
          <w:bCs/>
          <w:sz w:val="28"/>
          <w:szCs w:val="28"/>
        </w:rPr>
      </w:pPr>
      <w:r>
        <w:rPr>
          <w:rFonts w:hint="eastAsia" w:ascii="宋体" w:hAnsi="宋体" w:cs="宋体"/>
          <w:b/>
          <w:bCs/>
          <w:sz w:val="28"/>
          <w:szCs w:val="28"/>
        </w:rPr>
        <w:t>（三）提交成果</w:t>
      </w:r>
    </w:p>
    <w:p w14:paraId="2B603148">
      <w:pPr>
        <w:pStyle w:val="7"/>
        <w:spacing w:line="360" w:lineRule="auto"/>
        <w:ind w:firstLine="560"/>
        <w:rPr>
          <w:rFonts w:hint="eastAsia"/>
        </w:rPr>
      </w:pPr>
      <w:r>
        <w:rPr>
          <w:rFonts w:hint="eastAsia" w:ascii="宋体" w:hAnsi="宋体" w:cs="宋体"/>
          <w:sz w:val="28"/>
          <w:szCs w:val="28"/>
        </w:rPr>
        <w:t>提交《龙岗区野生动物资源调查中期报告》《龙岗区野生动物资源调查报告》《龙岗区野生动物名录》《龙岗区重要野生动物物种分布图》及矢量文件各2份；提交《龙岗区野生动物图册》50份。以上资料提交纸质文本、电子文件word格式。</w:t>
      </w:r>
    </w:p>
    <w:p w14:paraId="2BB0CDE9">
      <w:pPr>
        <w:pStyle w:val="4"/>
        <w:adjustRightInd/>
        <w:spacing w:line="360" w:lineRule="auto"/>
        <w:jc w:val="both"/>
        <w:textAlignment w:val="auto"/>
        <w:rPr>
          <w:rFonts w:hint="eastAsia"/>
          <w:b/>
          <w:bCs/>
          <w:sz w:val="28"/>
          <w:szCs w:val="28"/>
        </w:rPr>
      </w:pPr>
      <w:bookmarkStart w:id="7" w:name="_Toc5520"/>
      <w:bookmarkStart w:id="8" w:name="_Toc7381"/>
      <w:r>
        <w:rPr>
          <w:rFonts w:hint="eastAsia"/>
          <w:b/>
          <w:bCs/>
          <w:sz w:val="28"/>
          <w:szCs w:val="28"/>
        </w:rPr>
        <w:t>三、商务要求</w:t>
      </w:r>
      <w:bookmarkEnd w:id="7"/>
      <w:bookmarkEnd w:id="8"/>
    </w:p>
    <w:p w14:paraId="7F06581B">
      <w:pPr>
        <w:pStyle w:val="7"/>
        <w:spacing w:line="360" w:lineRule="auto"/>
        <w:ind w:firstLine="562"/>
        <w:rPr>
          <w:rFonts w:hint="eastAsia" w:ascii="宋体" w:hAnsi="宋体" w:cs="宋体"/>
          <w:sz w:val="28"/>
          <w:szCs w:val="28"/>
        </w:rPr>
      </w:pPr>
      <w:r>
        <w:rPr>
          <w:rFonts w:hint="eastAsia" w:ascii="宋体" w:hAnsi="宋体" w:cs="宋体"/>
          <w:b/>
          <w:bCs/>
          <w:sz w:val="28"/>
          <w:szCs w:val="28"/>
        </w:rPr>
        <w:t>（一）服务期：</w:t>
      </w:r>
      <w:r>
        <w:rPr>
          <w:rFonts w:hint="eastAsia" w:ascii="宋体" w:hAnsi="宋体" w:cs="宋体"/>
          <w:sz w:val="28"/>
          <w:szCs w:val="28"/>
        </w:rPr>
        <w:t>自合同签订之日起13个月。</w:t>
      </w:r>
    </w:p>
    <w:p w14:paraId="04957511">
      <w:pPr>
        <w:pStyle w:val="7"/>
        <w:spacing w:line="360" w:lineRule="auto"/>
        <w:ind w:firstLine="562"/>
        <w:rPr>
          <w:rFonts w:hint="eastAsia" w:ascii="宋体" w:hAnsi="宋体" w:cs="宋体"/>
          <w:sz w:val="28"/>
          <w:szCs w:val="28"/>
        </w:rPr>
      </w:pPr>
      <w:r>
        <w:rPr>
          <w:rFonts w:hint="eastAsia" w:ascii="宋体" w:hAnsi="宋体" w:cs="宋体"/>
          <w:b/>
          <w:bCs/>
          <w:sz w:val="28"/>
          <w:szCs w:val="28"/>
        </w:rPr>
        <w:t>（二）服务地点：</w:t>
      </w:r>
      <w:r>
        <w:rPr>
          <w:rFonts w:hint="eastAsia" w:ascii="宋体" w:hAnsi="宋体" w:cs="宋体"/>
          <w:sz w:val="28"/>
          <w:szCs w:val="28"/>
        </w:rPr>
        <w:t>龙岗区。</w:t>
      </w:r>
    </w:p>
    <w:p w14:paraId="7A6DE5CB">
      <w:pPr>
        <w:pStyle w:val="7"/>
        <w:spacing w:line="360" w:lineRule="auto"/>
        <w:ind w:firstLine="562"/>
        <w:rPr>
          <w:rFonts w:hint="eastAsia" w:ascii="宋体" w:hAnsi="宋体" w:cs="宋体"/>
          <w:sz w:val="28"/>
          <w:szCs w:val="28"/>
        </w:rPr>
      </w:pPr>
      <w:r>
        <w:rPr>
          <w:rFonts w:hint="eastAsia" w:ascii="宋体" w:hAnsi="宋体" w:cs="宋体"/>
          <w:b/>
          <w:bCs/>
          <w:sz w:val="28"/>
          <w:szCs w:val="28"/>
        </w:rPr>
        <w:t>（三）报价要求：</w:t>
      </w:r>
    </w:p>
    <w:p w14:paraId="360DA19F">
      <w:pPr>
        <w:pStyle w:val="7"/>
        <w:spacing w:line="360" w:lineRule="auto"/>
        <w:ind w:firstLine="560"/>
        <w:rPr>
          <w:rFonts w:hint="eastAsia" w:ascii="宋体" w:hAnsi="宋体" w:cs="宋体"/>
          <w:sz w:val="28"/>
          <w:szCs w:val="28"/>
        </w:rPr>
      </w:pPr>
      <w:r>
        <w:rPr>
          <w:rFonts w:hint="eastAsia" w:ascii="宋体" w:hAnsi="宋体" w:cs="宋体"/>
          <w:sz w:val="28"/>
          <w:szCs w:val="28"/>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14:paraId="2982CE3A">
      <w:pPr>
        <w:pStyle w:val="7"/>
        <w:spacing w:line="312" w:lineRule="auto"/>
        <w:ind w:firstLine="560"/>
        <w:rPr>
          <w:rFonts w:hint="eastAsia" w:ascii="宋体" w:hAnsi="宋体" w:cs="宋体"/>
          <w:sz w:val="28"/>
          <w:szCs w:val="28"/>
        </w:rPr>
      </w:pPr>
      <w:r>
        <w:rPr>
          <w:rFonts w:hint="eastAsia" w:ascii="宋体" w:hAnsi="宋体" w:cs="宋体"/>
          <w:sz w:val="28"/>
          <w:szCs w:val="28"/>
        </w:rPr>
        <w:t>2.投标供应商应当根据本企业的成本自行决定报价，但不得以低于其企业成本的报价投标。</w:t>
      </w:r>
    </w:p>
    <w:p w14:paraId="49E6F21F">
      <w:pPr>
        <w:pStyle w:val="7"/>
        <w:spacing w:line="312" w:lineRule="auto"/>
        <w:ind w:firstLine="560"/>
        <w:rPr>
          <w:rFonts w:hint="eastAsia" w:ascii="宋体" w:hAnsi="宋体" w:cs="宋体"/>
          <w:sz w:val="28"/>
          <w:szCs w:val="28"/>
        </w:rPr>
      </w:pPr>
      <w:r>
        <w:rPr>
          <w:rFonts w:hint="eastAsia" w:ascii="宋体" w:hAnsi="宋体" w:cs="宋体"/>
          <w:sz w:val="28"/>
          <w:szCs w:val="28"/>
        </w:rPr>
        <w:t>3.投标供应商的报价不得超过项目预算金额。</w:t>
      </w:r>
    </w:p>
    <w:p w14:paraId="50F3E654">
      <w:pPr>
        <w:pStyle w:val="7"/>
        <w:spacing w:line="312" w:lineRule="auto"/>
        <w:ind w:firstLine="560"/>
        <w:rPr>
          <w:rFonts w:hint="eastAsia" w:ascii="宋体" w:hAnsi="宋体" w:cs="宋体"/>
          <w:sz w:val="28"/>
          <w:szCs w:val="28"/>
        </w:rPr>
      </w:pPr>
      <w:r>
        <w:rPr>
          <w:rFonts w:hint="eastAsia" w:ascii="宋体" w:hAnsi="宋体" w:cs="宋体"/>
          <w:sz w:val="28"/>
          <w:szCs w:val="28"/>
        </w:rPr>
        <w:t>4.投标供应商的报价，应当是本项目采购范围和采购文件及合同条款上所列的各项内容中所述的全部，不得以任何理由予以重复。</w:t>
      </w:r>
    </w:p>
    <w:p w14:paraId="1D9B33E1">
      <w:pPr>
        <w:pStyle w:val="7"/>
        <w:spacing w:line="312" w:lineRule="auto"/>
        <w:ind w:firstLine="560"/>
        <w:rPr>
          <w:rFonts w:hint="eastAsia" w:ascii="宋体" w:hAnsi="宋体" w:cs="宋体"/>
          <w:sz w:val="28"/>
          <w:szCs w:val="28"/>
        </w:rPr>
      </w:pPr>
      <w:r>
        <w:rPr>
          <w:rFonts w:hint="eastAsia" w:ascii="宋体" w:hAnsi="宋体" w:cs="宋体"/>
          <w:sz w:val="28"/>
          <w:szCs w:val="28"/>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14:paraId="316E7B25">
      <w:pPr>
        <w:pStyle w:val="7"/>
        <w:spacing w:line="312" w:lineRule="auto"/>
        <w:ind w:firstLine="560"/>
        <w:rPr>
          <w:rFonts w:hint="eastAsia" w:ascii="宋体" w:hAnsi="宋体" w:cs="宋体"/>
          <w:sz w:val="28"/>
          <w:szCs w:val="28"/>
        </w:rPr>
      </w:pPr>
      <w:r>
        <w:rPr>
          <w:rFonts w:hint="eastAsia" w:ascii="宋体" w:hAnsi="宋体" w:cs="宋体"/>
          <w:sz w:val="28"/>
          <w:szCs w:val="28"/>
        </w:rPr>
        <w:t>6.投标供应商应事先充分了解项目的位置、情况、道路及任何其它足以影响投标报价的情况，任何因忽视或误解项目情况而导致的索赔或服务期限延长申请将不获批准。</w:t>
      </w:r>
    </w:p>
    <w:p w14:paraId="75952804">
      <w:pPr>
        <w:pStyle w:val="7"/>
        <w:spacing w:line="312" w:lineRule="auto"/>
        <w:ind w:firstLine="560"/>
        <w:rPr>
          <w:rFonts w:hint="eastAsia" w:ascii="宋体" w:hAnsi="宋体" w:cs="宋体"/>
          <w:sz w:val="28"/>
          <w:szCs w:val="28"/>
        </w:rPr>
      </w:pPr>
      <w:r>
        <w:rPr>
          <w:rFonts w:hint="eastAsia" w:ascii="宋体" w:hAnsi="宋体" w:cs="宋体"/>
          <w:sz w:val="28"/>
          <w:szCs w:val="28"/>
        </w:rPr>
        <w:t>7.投标供应商不得期望通过索赔等方式获取补偿，否则，除可能遭到拒绝外，还可能将被作为不良行为记录在案，并可能影响其以后参加政府采购的项目投标。各投标供应商在报价时，应充分考虑报价的风险。</w:t>
      </w:r>
    </w:p>
    <w:p w14:paraId="21D6BA89">
      <w:pPr>
        <w:pStyle w:val="7"/>
        <w:spacing w:line="312" w:lineRule="auto"/>
        <w:ind w:firstLine="562"/>
        <w:rPr>
          <w:rFonts w:hint="eastAsia" w:ascii="宋体" w:hAnsi="宋体" w:cs="宋体"/>
          <w:sz w:val="28"/>
          <w:szCs w:val="28"/>
        </w:rPr>
      </w:pPr>
      <w:r>
        <w:rPr>
          <w:rFonts w:hint="eastAsia" w:ascii="宋体" w:hAnsi="宋体" w:cs="宋体"/>
          <w:b/>
          <w:bCs/>
          <w:sz w:val="28"/>
          <w:szCs w:val="28"/>
        </w:rPr>
        <w:t>（四）付款方式：</w:t>
      </w:r>
      <w:r>
        <w:rPr>
          <w:rFonts w:hint="eastAsia" w:ascii="宋体" w:hAnsi="宋体" w:cs="宋体"/>
          <w:sz w:val="28"/>
          <w:szCs w:val="28"/>
        </w:rPr>
        <w:t>分三期付款，首期款：合同签订之日起10个工作日内，由中标方提供付款申请及有效发票，采购方根据当年财政安排的资金支付合同总费用的40%；二期款：中标方提交龙岗区野生动物资源调查中期报告，经采购科室审查通过后，中标方提供付款申请及有效发票，采购方根据当年财政安排的资金支付合同总费用的40%；尾款:中标方完成合同规定的各项工作内容，全部成果经采购方局专题务会议审议通过，主办科室完成成果归档后10个工作日内，中标方提供付款申请及有效发票，采购方根据当年财政安排的资金支付合同尾款，占合同总费用的20%。</w:t>
      </w:r>
    </w:p>
    <w:p w14:paraId="451F43BD">
      <w:pPr>
        <w:pStyle w:val="7"/>
        <w:spacing w:line="312" w:lineRule="auto"/>
        <w:ind w:firstLine="562"/>
        <w:rPr>
          <w:rFonts w:hint="eastAsia" w:ascii="宋体" w:hAnsi="宋体" w:cs="宋体"/>
          <w:sz w:val="28"/>
          <w:szCs w:val="28"/>
        </w:rPr>
      </w:pPr>
      <w:r>
        <w:rPr>
          <w:rFonts w:hint="eastAsia" w:ascii="宋体" w:hAnsi="宋体" w:cs="宋体"/>
          <w:b/>
          <w:bCs/>
          <w:sz w:val="28"/>
          <w:szCs w:val="28"/>
        </w:rPr>
        <w:t>（五）违约责任：</w:t>
      </w:r>
      <w:r>
        <w:rPr>
          <w:rFonts w:hint="eastAsia" w:ascii="宋体" w:hAnsi="宋体" w:cs="宋体"/>
          <w:sz w:val="28"/>
          <w:szCs w:val="28"/>
        </w:rPr>
        <w:t>按合同约定执行。</w:t>
      </w:r>
    </w:p>
    <w:p w14:paraId="1564B14D">
      <w:pPr>
        <w:pStyle w:val="7"/>
        <w:spacing w:line="312" w:lineRule="auto"/>
        <w:ind w:firstLine="562"/>
        <w:rPr>
          <w:rFonts w:ascii="宋体" w:hAnsi="宋体" w:cs="宋体"/>
          <w:b/>
          <w:bCs/>
          <w:sz w:val="28"/>
          <w:szCs w:val="28"/>
        </w:rPr>
      </w:pPr>
      <w:r>
        <w:rPr>
          <w:rFonts w:hint="eastAsia" w:ascii="宋体" w:hAnsi="宋体" w:cs="宋体"/>
          <w:b/>
          <w:bCs/>
          <w:sz w:val="28"/>
          <w:szCs w:val="28"/>
        </w:rPr>
        <w:t>（六）其他：</w:t>
      </w:r>
      <w:r>
        <w:rPr>
          <w:rFonts w:hint="eastAsia" w:ascii="宋体" w:hAnsi="宋体" w:cs="宋体"/>
          <w:sz w:val="28"/>
          <w:szCs w:val="28"/>
        </w:rPr>
        <w:t>供应商需签署《政府采购投标及履约承诺函》、《政府采购违法行为风险知悉确认书》。</w:t>
      </w:r>
    </w:p>
    <w:p w14:paraId="38BB8AE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C1A327"/>
    <w:multiLevelType w:val="singleLevel"/>
    <w:tmpl w:val="CDC1A32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684A92"/>
    <w:rsid w:val="1C684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adjustRightInd w:val="0"/>
      <w:spacing w:line="240" w:lineRule="auto"/>
      <w:jc w:val="center"/>
      <w:textAlignment w:val="baseline"/>
      <w:outlineLvl w:val="1"/>
    </w:pPr>
    <w:rPr>
      <w:rFonts w:ascii="宋体" w:hAnsi="宋体"/>
      <w:kern w:val="0"/>
      <w:sz w:val="24"/>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tabs>
        <w:tab w:val="left" w:pos="426"/>
      </w:tabs>
      <w:spacing w:beforeLines="50" w:afterLines="50" w:line="120" w:lineRule="auto"/>
      <w:ind w:firstLine="840" w:firstLineChars="400"/>
      <w:jc w:val="left"/>
    </w:pPr>
  </w:style>
  <w:style w:type="paragraph" w:customStyle="1" w:styleId="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2025-01-23T09:48:00Z</dcterms:created>
  <dc:creator>sss</dc:creator>
  <cp:lastModifiedBy>sss</cp:lastModifiedBy>
  <dcterms:modified xsi:type="dcterms:W3CDTF">2025-01-23T09:50:55Z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4838C49B968F43D0B631CD7870E4D46F_11</vt:lpwstr>
  </property>
  <property fmtid="{D5CDD505-2E9C-101B-9397-08002B2CF9AE}" pid="4" name="KSOTemplateDocerSaveRecord">
    <vt:lpwstr>eyJoZGlkIjoiMGYwYjQ0MmYzYmU4NWE5YmJkNWFhOWQzZjVjNDYwYzEiLCJ1c2VySWQiOiIzMTU2NDg3NDcifQ==</vt:lpwstr>
  </property>
</Properties>
</file>